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481F" w:rsidRDefault="00FE232B">
      <w:pPr>
        <w:ind w:right="-13"/>
        <w:jc w:val="center"/>
        <w:rPr>
          <w:b/>
          <w:szCs w:val="28"/>
        </w:rPr>
      </w:pPr>
      <w:r>
        <w:rPr>
          <w:b/>
          <w:szCs w:val="28"/>
        </w:rPr>
        <w:t>Mẫu 04-T</w:t>
      </w:r>
    </w:p>
    <w:p w:rsidR="0099481F" w:rsidRDefault="00FE232B">
      <w:pPr>
        <w:spacing w:before="120"/>
        <w:jc w:val="center"/>
        <w:rPr>
          <w:sz w:val="27"/>
          <w:szCs w:val="27"/>
        </w:rPr>
      </w:pPr>
      <w:r>
        <w:rPr>
          <w:i/>
          <w:sz w:val="27"/>
          <w:szCs w:val="27"/>
        </w:rPr>
        <w:t xml:space="preserve">(Kèm </w:t>
      </w:r>
      <w:proofErr w:type="gramStart"/>
      <w:r>
        <w:rPr>
          <w:i/>
          <w:sz w:val="27"/>
          <w:szCs w:val="27"/>
        </w:rPr>
        <w:t>theo</w:t>
      </w:r>
      <w:proofErr w:type="gramEnd"/>
      <w:r>
        <w:rPr>
          <w:i/>
          <w:sz w:val="27"/>
          <w:szCs w:val="27"/>
        </w:rPr>
        <w:t xml:space="preserve"> Hướng dẫn số 06/HD-BCĐ ngày 22/4/2026 của Ban Chỉ đạo)</w:t>
      </w:r>
    </w:p>
    <w:p w:rsidR="0099481F" w:rsidRDefault="00FE232B">
      <w:pPr>
        <w:ind w:right="-13"/>
        <w:jc w:val="center"/>
        <w:rPr>
          <w:b/>
          <w:sz w:val="26"/>
          <w:szCs w:val="26"/>
        </w:rPr>
      </w:pPr>
      <w:r>
        <w:rPr>
          <w:b/>
          <w:noProof/>
          <w:sz w:val="26"/>
          <w:szCs w:val="26"/>
        </w:rPr>
        <mc:AlternateContent>
          <mc:Choice Requires="wps">
            <w:drawing>
              <wp:anchor distT="0" distB="0" distL="114300" distR="114300" simplePos="0" relativeHeight="251659264" behindDoc="0" locked="0" layoutInCell="1" allowOverlap="1">
                <wp:simplePos x="0" y="0"/>
                <wp:positionH relativeFrom="column">
                  <wp:posOffset>3699510</wp:posOffset>
                </wp:positionH>
                <wp:positionV relativeFrom="paragraph">
                  <wp:posOffset>53975</wp:posOffset>
                </wp:positionV>
                <wp:extent cx="1828800" cy="0"/>
                <wp:effectExtent l="13335" t="6350" r="5715" b="12700"/>
                <wp:wrapNone/>
                <wp:docPr id="1495822126"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straightConnector1">
                          <a:avLst/>
                        </a:prstGeom>
                        <a:noFill/>
                        <a:ln w="9525">
                          <a:solidFill>
                            <a:srgbClr val="000000"/>
                          </a:solidFill>
                          <a:round/>
                        </a:ln>
                      </wps:spPr>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5" o:spid="_x0000_s1026" o:spt="32" type="#_x0000_t32" style="position:absolute;left:0pt;margin-left:291.3pt;margin-top:4.25pt;height:0pt;width:144pt;z-index:251659264;mso-width-relative:page;mso-height-relative:page;" filled="f" stroked="t" coordsize="21600,21600" o:gfxdata="UEsDBAoAAAAAAIdO4kAAAAAAAAAAAAAAAAAEAAAAZHJzL1BLAwQUAAAACACHTuJA21HxcNQAAAAH AQAADwAAAGRycy9kb3ducmV2LnhtbE2OwU7DMBBE70j9B2uRuCBqJ1JKCHGqCokDR9pKXN14SQLx OoqdpvTrWXopx6cZzbxyfXK9OOIYOk8akqUCgVR721GjYb97fchBhGjImt4TavjBAOtqcVOawvqZ 3vG4jY3gEQqF0dDGOBRShrpFZ8LSD0icffrRmcg4NtKOZuZx18tUqZV0piN+aM2ALy3W39vJacAw ZYnaPLlm/3ae7z/S89c87LS+u03UM4iIp3gtw58+q0PFTgc/kQ2i15Dl6YqrGvIMBOf5o2I+XFhW pfzvX/0CUEsDBBQAAAAIAIdO4kBxcbuq3AEAALsDAAAOAAAAZHJzL2Uyb0RvYy54bWytU8Fu2zAM vQ/YPwi6L46NpUiNOMWQoLt0W4B2H6DIsi1MEgVKiZO/HyUnWdddepgPgiiSj3yP9OrhZA07Kgwa XMPL2Zwz5SS02vUN//ny+GnJWYjCtcKAUw0/q8Af1h8/rEZfqwoGMK1CRiAu1KNv+BCjr4siyEFZ EWbglSNnB2hFJBP7okUxEro1RTWf3xUjYOsRpAqBXreTk18Q8T2A0HVaqi3Ig1UuTqiojIhEKQza B77O3XadkvFH1wUVmWk4MY35pCJ036ezWK9E3aPwg5aXFsR7WnjDyQrtqOgNaiuiYAfU/0BZLREC dHEmwRYTkawIsSjnb7R5HoRXmQtJHfxN9PD/YOX34w6ZbmkTPt8vllVVVnecOWFp8l8OEXILbJF0 Gn2oKXzjdpiYypN79k8gfwXmYDMI16sc/HL2lFumjOKvlGQET9X24zdoKUYQfhbt1KFNkCQHO+XZ nG+zUafIJD2Wy2q5nNPY5NVXiPqa6DHErwosS5eGh4hC90PcgHO0AYBlLiOOTyGmtkR9TUhVHTxq Y/IiGMfGht8vqkVOCGB0m5wpLGC/3xhkR5FWKX+ZI3lehyEcXDsVMe4iQWI96beH9rzDqzQ009zN Zf/S0ry2c/aff279G1BLAwQKAAAAAACHTuJAAAAAAAAAAAAAAAAABgAAAF9yZWxzL1BLAwQUAAAA CACHTuJAihRmPNEAAACUAQAACwAAAF9yZWxzLy5yZWxzpZDBasMwDIbvg72D0X1xmsMYo04vo9Br 6R7A2IpjGltGMtn69vMOg2X0tqN+oe8T//7wmRa1IkukbGDX9aAwO/IxBwPvl+PTCyipNnu7UEYD NxQ4jI8P+zMutrYjmWMR1ShZDMy1lletxc2YrHRUMLfNRJxsbSMHXay72oB66Ptnzb8ZMG6Y6uQN 8MkPoC630sx/2Ck6JqGpdo6SpmmK7h5VB7Zlju7INuEbuUazHLAa8CwaB2pZ134EfV+/+6fe00c+ 47rVfoeM649Xb7ocvwBQSwMEFAAAAAgAh07iQH7m5SD3AAAA4QEAABMAAABbQ29udGVudF9UeXBl c10ueG1slZFBTsMwEEX3SNzB8hYlTrtACCXpgrRLQKgcYGRPEotkbHlMaG+Pk7YbRJFY2jP/vye7 3BzGQUwY2Dqq5CovpEDSzljqKvm+32UPUnAEMjA4wkoekeWmvr0p90ePLFKauJJ9jP5RKdY9jsC5 80hp0rowQkzH0CkP+gM6VOuiuFfaUUSKWZw7ZF022MLnEMX2kK5PJgEHluLptDizKgneD1ZDTKZq IvODkp0JeUouO9xbz3dJQ6pfCfPkOuCce0lPE6xB8QohPsOYNJQJrIz7ooBT/nfJbDly5trWasyb wE2KveF0sbrWjmvXOP3f8u2SunSr5YPqb1BLAQIUABQAAAAIAIdO4kB+5uUg9wAAAOEBAAATAAAA AAAAAAEAIAAAAEkEAABbQ29udGVudF9UeXBlc10ueG1sUEsBAhQACgAAAAAAh07iQAAAAAAAAAAA AAAAAAYAAAAAAAAAAAAQAAAAKwMAAF9yZWxzL1BLAQIUABQAAAAIAIdO4kCKFGY80QAAAJQBAAAL AAAAAAAAAAEAIAAAAE8DAABfcmVscy8ucmVsc1BLAQIUAAoAAAAAAIdO4kAAAAAAAAAAAAAAAAAE AAAAAAAAAAAAEAAAAAAAAABkcnMvUEsBAhQAFAAAAAgAh07iQNtR8XDUAAAABwEAAA8AAAAAAAAA AQAgAAAAIgAAAGRycy9kb3ducmV2LnhtbFBLAQIUABQAAAAIAIdO4kBxcbuq3AEAALsDAAAOAAAA AAAAAAEAIAAAACMBAABkcnMvZTJvRG9jLnhtbFBLBQYAAAAABgAGAFkBAABxBQAAAAA= ">
                <v:fill on="f" focussize="0,0"/>
                <v:stroke color="#000000" joinstyle="round"/>
                <v:imagedata o:title=""/>
                <o:lock v:ext="edit" aspectratio="f"/>
              </v:shape>
            </w:pict>
          </mc:Fallback>
        </mc:AlternateContent>
      </w:r>
    </w:p>
    <w:p w:rsidR="0099481F" w:rsidRDefault="00FE232B">
      <w:pPr>
        <w:widowControl w:val="0"/>
        <w:spacing w:before="120" w:after="120" w:line="360" w:lineRule="exact"/>
        <w:ind w:firstLine="567"/>
        <w:jc w:val="both"/>
        <w:rPr>
          <w:b/>
          <w:szCs w:val="28"/>
        </w:rPr>
      </w:pPr>
      <w:r>
        <w:rPr>
          <w:b/>
          <w:szCs w:val="28"/>
        </w:rPr>
        <w:t xml:space="preserve">Lưu ý: </w:t>
      </w:r>
    </w:p>
    <w:p w:rsidR="0099481F" w:rsidRDefault="00FE232B">
      <w:pPr>
        <w:widowControl w:val="0"/>
        <w:spacing w:before="120" w:after="120" w:line="360" w:lineRule="exact"/>
        <w:ind w:firstLine="567"/>
        <w:jc w:val="both"/>
        <w:rPr>
          <w:bCs/>
          <w:szCs w:val="28"/>
        </w:rPr>
      </w:pPr>
      <w:r>
        <w:rPr>
          <w:bCs/>
          <w:szCs w:val="28"/>
        </w:rPr>
        <w:t xml:space="preserve">- Các cơ quan đồng thời thực hiện xây dựng Báo cáo và tổng hợp kết quả tổng rà soát trên </w:t>
      </w:r>
      <w:r>
        <w:rPr>
          <w:bCs/>
        </w:rPr>
        <w:t>Phần mềm hỗ trợ kiểm tra, rà soát VBQPPL tại</w:t>
      </w:r>
      <w:r>
        <w:rPr>
          <w:bCs/>
          <w:lang w:val="vi-VN"/>
        </w:rPr>
        <w:t xml:space="preserve"> </w:t>
      </w:r>
      <w:r>
        <w:rPr>
          <w:bCs/>
          <w:szCs w:val="28"/>
        </w:rPr>
        <w:t xml:space="preserve">địa chỉ: </w:t>
      </w:r>
      <w:r>
        <w:rPr>
          <w:b/>
        </w:rPr>
        <w:t>https://kiemtrarasoat.moj.gov.vn</w:t>
      </w:r>
      <w:r>
        <w:rPr>
          <w:bCs/>
          <w:szCs w:val="28"/>
        </w:rPr>
        <w:t>.</w:t>
      </w:r>
    </w:p>
    <w:p w:rsidR="0099481F" w:rsidRDefault="00FE232B">
      <w:pPr>
        <w:widowControl w:val="0"/>
        <w:spacing w:before="120" w:after="120" w:line="360" w:lineRule="exact"/>
        <w:ind w:firstLine="567"/>
        <w:jc w:val="both"/>
        <w:rPr>
          <w:bCs/>
          <w:color w:val="000000"/>
          <w:szCs w:val="28"/>
        </w:rPr>
      </w:pPr>
      <w:r>
        <w:rPr>
          <w:b/>
          <w:szCs w:val="28"/>
        </w:rPr>
        <w:t xml:space="preserve">- </w:t>
      </w:r>
      <w:r>
        <w:rPr>
          <w:bCs/>
          <w:szCs w:val="28"/>
        </w:rPr>
        <w:t>Các cơ quan thực hiện việc nhập kết quả rà soát vào các Phụ lục</w:t>
      </w:r>
      <w:r>
        <w:rPr>
          <w:b/>
          <w:szCs w:val="28"/>
        </w:rPr>
        <w:t xml:space="preserve"> </w:t>
      </w:r>
      <w:proofErr w:type="gramStart"/>
      <w:r>
        <w:rPr>
          <w:b/>
          <w:szCs w:val="28"/>
          <w:u w:val="single"/>
        </w:rPr>
        <w:t>theo</w:t>
      </w:r>
      <w:proofErr w:type="gramEnd"/>
      <w:r>
        <w:rPr>
          <w:b/>
          <w:szCs w:val="28"/>
          <w:u w:val="single"/>
        </w:rPr>
        <w:t xml:space="preserve"> hình thức trực tuyến</w:t>
      </w:r>
      <w:r>
        <w:rPr>
          <w:b/>
          <w:szCs w:val="28"/>
        </w:rPr>
        <w:t xml:space="preserve"> hoặc </w:t>
      </w:r>
      <w:r>
        <w:rPr>
          <w:b/>
          <w:szCs w:val="28"/>
          <w:u w:val="single"/>
        </w:rPr>
        <w:t xml:space="preserve">theo mẫu </w:t>
      </w:r>
      <w:r>
        <w:rPr>
          <w:b/>
          <w:i/>
          <w:iCs/>
          <w:szCs w:val="28"/>
          <w:u w:val="single"/>
        </w:rPr>
        <w:t>(định dạng file excel)</w:t>
      </w:r>
      <w:r>
        <w:rPr>
          <w:bCs/>
          <w:szCs w:val="28"/>
        </w:rPr>
        <w:t xml:space="preserve"> </w:t>
      </w:r>
      <w:r>
        <w:rPr>
          <w:b/>
          <w:szCs w:val="28"/>
        </w:rPr>
        <w:t>tải</w:t>
      </w:r>
      <w:r>
        <w:rPr>
          <w:b/>
          <w:szCs w:val="28"/>
          <w:lang w:val="vi-VN"/>
        </w:rPr>
        <w:t xml:space="preserve"> xuống</w:t>
      </w:r>
      <w:r>
        <w:rPr>
          <w:bCs/>
          <w:szCs w:val="28"/>
        </w:rPr>
        <w:t xml:space="preserve"> từ địa chỉ: </w:t>
      </w:r>
      <w:r>
        <w:rPr>
          <w:b/>
        </w:rPr>
        <w:t>https://kiemtrarasoat.moj.gov.vn.</w:t>
      </w:r>
    </w:p>
    <w:p w:rsidR="0099481F" w:rsidRDefault="00FE232B">
      <w:pPr>
        <w:widowControl w:val="0"/>
        <w:spacing w:before="120" w:after="120" w:line="360" w:lineRule="exact"/>
        <w:ind w:firstLine="567"/>
        <w:jc w:val="both"/>
        <w:rPr>
          <w:b/>
          <w:szCs w:val="28"/>
        </w:rPr>
      </w:pPr>
      <w:r>
        <w:rPr>
          <w:bCs/>
          <w:color w:val="000000"/>
          <w:szCs w:val="28"/>
        </w:rPr>
        <w:t xml:space="preserve"> - Sau khi kết quả tổng rà soát được </w:t>
      </w:r>
      <w:r>
        <w:rPr>
          <w:bCs/>
          <w:color w:val="000000"/>
          <w:szCs w:val="28"/>
        </w:rPr>
        <w:t>đưa lên Phần mềm hỗ trợ kiểm tra, rà soát VBQPPL, các cơ quan trích xuất Phụ lục (định dạng file word) như mẫu dưới đây để đính kèm Báo cáo gửi về Bộ Tư pháp.</w:t>
      </w:r>
    </w:p>
    <w:p w:rsidR="0099481F" w:rsidRDefault="00FE232B">
      <w:pPr>
        <w:ind w:right="-13"/>
        <w:jc w:val="center"/>
        <w:rPr>
          <w:b/>
          <w:sz w:val="26"/>
          <w:szCs w:val="26"/>
        </w:rPr>
      </w:pPr>
      <w:r>
        <w:rPr>
          <w:b/>
          <w:sz w:val="26"/>
          <w:szCs w:val="26"/>
        </w:rPr>
        <w:t>Phụ lục II</w:t>
      </w:r>
    </w:p>
    <w:p w:rsidR="0099481F" w:rsidRDefault="00FE232B">
      <w:pPr>
        <w:ind w:right="-13"/>
        <w:jc w:val="center"/>
        <w:rPr>
          <w:b/>
          <w:sz w:val="26"/>
          <w:szCs w:val="26"/>
        </w:rPr>
      </w:pPr>
      <w:r>
        <w:rPr>
          <w:b/>
          <w:sz w:val="26"/>
          <w:szCs w:val="26"/>
        </w:rPr>
        <w:t>DANH MỤC</w:t>
      </w:r>
    </w:p>
    <w:p w:rsidR="0099481F" w:rsidRDefault="00FE232B">
      <w:pPr>
        <w:shd w:val="clear" w:color="auto" w:fill="FFFFFF"/>
        <w:jc w:val="center"/>
        <w:rPr>
          <w:color w:val="000000"/>
          <w:szCs w:val="28"/>
        </w:rPr>
      </w:pPr>
      <w:r>
        <w:rPr>
          <w:b/>
          <w:bCs/>
          <w:szCs w:val="28"/>
        </w:rPr>
        <w:t>Văn bản quy phạm pháp luật của HĐND, UBND, Chủ tịch UBND cấp tỉnh đề xuất sửa</w:t>
      </w:r>
      <w:r>
        <w:rPr>
          <w:b/>
          <w:bCs/>
          <w:szCs w:val="28"/>
        </w:rPr>
        <w:t xml:space="preserve"> đổi, bổ sung; </w:t>
      </w:r>
      <w:r>
        <w:rPr>
          <w:b/>
          <w:bCs/>
          <w:szCs w:val="28"/>
        </w:rPr>
        <w:br/>
        <w:t>thay thế; tạm ngưng hiệu lực, bãi bỏ một phần</w:t>
      </w:r>
    </w:p>
    <w:p w:rsidR="0099481F" w:rsidRDefault="00FE232B">
      <w:pPr>
        <w:tabs>
          <w:tab w:val="right" w:leader="dot" w:pos="6804"/>
        </w:tabs>
        <w:jc w:val="center"/>
        <w:rPr>
          <w:b/>
          <w:sz w:val="26"/>
          <w:szCs w:val="26"/>
          <w:vertAlign w:val="superscript"/>
        </w:rPr>
      </w:pPr>
      <w:bookmarkStart w:id="0" w:name="_Hlk227595043"/>
      <w:r>
        <w:rPr>
          <w:b/>
          <w:sz w:val="26"/>
          <w:szCs w:val="26"/>
        </w:rPr>
        <w:t>Cơ quan rà soát: Sở Nông nghiệp và Môi trường</w:t>
      </w:r>
    </w:p>
    <w:bookmarkEnd w:id="0"/>
    <w:p w:rsidR="00B27C1C" w:rsidRDefault="00B27C1C" w:rsidP="00B27C1C">
      <w:pPr>
        <w:jc w:val="center"/>
        <w:rPr>
          <w:bCs/>
          <w:i/>
          <w:iCs/>
          <w:sz w:val="26"/>
          <w:szCs w:val="26"/>
        </w:rPr>
      </w:pPr>
      <w:r>
        <w:rPr>
          <w:bCs/>
          <w:i/>
          <w:iCs/>
          <w:sz w:val="26"/>
          <w:szCs w:val="26"/>
        </w:rPr>
        <w:t>(Kèm theo Báo cáo số:               /BC-SNNMT ngày        /10/</w:t>
      </w:r>
      <w:proofErr w:type="gramStart"/>
      <w:r>
        <w:rPr>
          <w:bCs/>
          <w:i/>
          <w:iCs/>
          <w:sz w:val="26"/>
          <w:szCs w:val="26"/>
        </w:rPr>
        <w:t>2026  của</w:t>
      </w:r>
      <w:proofErr w:type="gramEnd"/>
      <w:r>
        <w:rPr>
          <w:bCs/>
          <w:i/>
          <w:iCs/>
          <w:sz w:val="26"/>
          <w:szCs w:val="26"/>
        </w:rPr>
        <w:t xml:space="preserve"> Sở Nông nghiệp và Môi trường)</w:t>
      </w:r>
    </w:p>
    <w:p w:rsidR="0099481F" w:rsidRDefault="0099481F">
      <w:pPr>
        <w:jc w:val="center"/>
        <w:rPr>
          <w:bCs/>
          <w:i/>
          <w:iCs/>
          <w:sz w:val="26"/>
          <w:szCs w:val="26"/>
        </w:rPr>
      </w:pPr>
      <w:bookmarkStart w:id="1" w:name="_GoBack"/>
      <w:bookmarkEnd w:id="1"/>
    </w:p>
    <w:tbl>
      <w:tblPr>
        <w:tblpPr w:leftFromText="180" w:rightFromText="180" w:vertAnchor="text" w:tblpXSpec="center" w:tblpY="1"/>
        <w:tblOverlap w:val="never"/>
        <w:tblW w:w="15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848"/>
        <w:gridCol w:w="2121"/>
        <w:gridCol w:w="4003"/>
        <w:gridCol w:w="1417"/>
        <w:gridCol w:w="1275"/>
        <w:gridCol w:w="1904"/>
        <w:gridCol w:w="1710"/>
      </w:tblGrid>
      <w:tr w:rsidR="0099481F">
        <w:trPr>
          <w:trHeight w:val="854"/>
          <w:tblHeader/>
        </w:trPr>
        <w:tc>
          <w:tcPr>
            <w:tcW w:w="959" w:type="dxa"/>
            <w:shd w:val="clear" w:color="auto" w:fill="F7CAAC" w:themeFill="accent2" w:themeFillTint="66"/>
            <w:vAlign w:val="center"/>
          </w:tcPr>
          <w:p w:rsidR="0099481F" w:rsidRDefault="00FE232B">
            <w:pPr>
              <w:jc w:val="center"/>
              <w:rPr>
                <w:b/>
                <w:bCs/>
                <w:iCs/>
                <w:sz w:val="24"/>
              </w:rPr>
            </w:pPr>
            <w:r>
              <w:rPr>
                <w:b/>
                <w:bCs/>
                <w:iCs/>
                <w:sz w:val="24"/>
              </w:rPr>
              <w:t>STT</w:t>
            </w:r>
          </w:p>
        </w:tc>
        <w:tc>
          <w:tcPr>
            <w:tcW w:w="1848" w:type="dxa"/>
            <w:shd w:val="clear" w:color="auto" w:fill="F7CAAC" w:themeFill="accent2" w:themeFillTint="66"/>
            <w:vAlign w:val="center"/>
          </w:tcPr>
          <w:p w:rsidR="0099481F" w:rsidRDefault="00FE232B">
            <w:pPr>
              <w:jc w:val="center"/>
              <w:rPr>
                <w:b/>
                <w:bCs/>
                <w:iCs/>
                <w:sz w:val="24"/>
              </w:rPr>
            </w:pPr>
            <w:r>
              <w:rPr>
                <w:b/>
                <w:bCs/>
                <w:iCs/>
                <w:sz w:val="24"/>
              </w:rPr>
              <w:t>Tên VB được rà soát</w:t>
            </w:r>
          </w:p>
        </w:tc>
        <w:tc>
          <w:tcPr>
            <w:tcW w:w="2121" w:type="dxa"/>
            <w:shd w:val="clear" w:color="auto" w:fill="F7CAAC" w:themeFill="accent2" w:themeFillTint="66"/>
            <w:vAlign w:val="center"/>
          </w:tcPr>
          <w:p w:rsidR="0099481F" w:rsidRDefault="00FE232B">
            <w:pPr>
              <w:jc w:val="center"/>
              <w:rPr>
                <w:b/>
                <w:bCs/>
                <w:iCs/>
                <w:sz w:val="24"/>
              </w:rPr>
            </w:pPr>
            <w:r>
              <w:rPr>
                <w:b/>
                <w:bCs/>
                <w:iCs/>
                <w:sz w:val="24"/>
              </w:rPr>
              <w:t>Căn cứ rà soát</w:t>
            </w:r>
          </w:p>
        </w:tc>
        <w:tc>
          <w:tcPr>
            <w:tcW w:w="4003" w:type="dxa"/>
            <w:shd w:val="clear" w:color="auto" w:fill="F7CAAC" w:themeFill="accent2" w:themeFillTint="66"/>
            <w:vAlign w:val="center"/>
          </w:tcPr>
          <w:p w:rsidR="0099481F" w:rsidRDefault="00FE232B">
            <w:pPr>
              <w:jc w:val="center"/>
              <w:rPr>
                <w:b/>
                <w:bCs/>
                <w:sz w:val="24"/>
              </w:rPr>
            </w:pPr>
            <w:r>
              <w:rPr>
                <w:b/>
                <w:bCs/>
                <w:sz w:val="24"/>
              </w:rPr>
              <w:t>Phân tích các nội dung, quy</w:t>
            </w:r>
            <w:r>
              <w:rPr>
                <w:b/>
                <w:bCs/>
                <w:sz w:val="24"/>
              </w:rPr>
              <w:t xml:space="preserve"> định cần xử lý của VB được rà soát</w:t>
            </w:r>
          </w:p>
        </w:tc>
        <w:tc>
          <w:tcPr>
            <w:tcW w:w="1417" w:type="dxa"/>
            <w:shd w:val="clear" w:color="auto" w:fill="F7CAAC" w:themeFill="accent2" w:themeFillTint="66"/>
            <w:vAlign w:val="center"/>
          </w:tcPr>
          <w:p w:rsidR="0099481F" w:rsidRDefault="00FE232B">
            <w:pPr>
              <w:jc w:val="center"/>
              <w:rPr>
                <w:b/>
                <w:bCs/>
                <w:sz w:val="24"/>
              </w:rPr>
            </w:pPr>
            <w:r>
              <w:rPr>
                <w:b/>
                <w:bCs/>
                <w:sz w:val="24"/>
              </w:rPr>
              <w:t>Hình thức xử lý VB được rà soát</w:t>
            </w:r>
          </w:p>
        </w:tc>
        <w:tc>
          <w:tcPr>
            <w:tcW w:w="1275" w:type="dxa"/>
            <w:shd w:val="clear" w:color="auto" w:fill="F7CAAC" w:themeFill="accent2" w:themeFillTint="66"/>
            <w:vAlign w:val="center"/>
          </w:tcPr>
          <w:p w:rsidR="0099481F" w:rsidRDefault="00FE232B">
            <w:pPr>
              <w:jc w:val="center"/>
              <w:rPr>
                <w:b/>
                <w:bCs/>
                <w:iCs/>
                <w:sz w:val="24"/>
              </w:rPr>
            </w:pPr>
            <w:r>
              <w:rPr>
                <w:b/>
                <w:bCs/>
                <w:iCs/>
                <w:sz w:val="24"/>
              </w:rPr>
              <w:t>Lộ trình</w:t>
            </w:r>
          </w:p>
          <w:p w:rsidR="0099481F" w:rsidRDefault="00FE232B">
            <w:pPr>
              <w:jc w:val="center"/>
              <w:rPr>
                <w:b/>
                <w:bCs/>
                <w:iCs/>
                <w:sz w:val="24"/>
              </w:rPr>
            </w:pPr>
            <w:r>
              <w:rPr>
                <w:b/>
                <w:bCs/>
                <w:iCs/>
                <w:sz w:val="24"/>
              </w:rPr>
              <w:t>xử lý</w:t>
            </w:r>
          </w:p>
        </w:tc>
        <w:tc>
          <w:tcPr>
            <w:tcW w:w="1904" w:type="dxa"/>
            <w:shd w:val="clear" w:color="auto" w:fill="F7CAAC" w:themeFill="accent2" w:themeFillTint="66"/>
            <w:vAlign w:val="center"/>
          </w:tcPr>
          <w:p w:rsidR="0099481F" w:rsidRDefault="00FE232B">
            <w:pPr>
              <w:jc w:val="center"/>
              <w:rPr>
                <w:b/>
                <w:bCs/>
                <w:iCs/>
                <w:sz w:val="24"/>
              </w:rPr>
            </w:pPr>
            <w:r>
              <w:rPr>
                <w:b/>
                <w:bCs/>
                <w:iCs/>
                <w:sz w:val="24"/>
              </w:rPr>
              <w:t>Tiêu chí rà soát</w:t>
            </w:r>
          </w:p>
        </w:tc>
        <w:tc>
          <w:tcPr>
            <w:tcW w:w="1710" w:type="dxa"/>
            <w:shd w:val="clear" w:color="auto" w:fill="F7CAAC" w:themeFill="accent2" w:themeFillTint="66"/>
            <w:vAlign w:val="center"/>
          </w:tcPr>
          <w:p w:rsidR="0099481F" w:rsidRDefault="00FE232B">
            <w:pPr>
              <w:jc w:val="center"/>
              <w:rPr>
                <w:b/>
                <w:bCs/>
                <w:iCs/>
                <w:sz w:val="24"/>
              </w:rPr>
            </w:pPr>
            <w:r>
              <w:rPr>
                <w:b/>
                <w:bCs/>
                <w:iCs/>
                <w:sz w:val="24"/>
              </w:rPr>
              <w:t>Ghi chú</w:t>
            </w:r>
          </w:p>
        </w:tc>
      </w:tr>
      <w:tr w:rsidR="0099481F">
        <w:trPr>
          <w:tblHeader/>
        </w:trPr>
        <w:tc>
          <w:tcPr>
            <w:tcW w:w="959" w:type="dxa"/>
            <w:shd w:val="clear" w:color="auto" w:fill="F7CAAC" w:themeFill="accent2" w:themeFillTint="66"/>
          </w:tcPr>
          <w:p w:rsidR="0099481F" w:rsidRDefault="00FE232B">
            <w:pPr>
              <w:jc w:val="center"/>
              <w:rPr>
                <w:b/>
                <w:bCs/>
                <w:iCs/>
                <w:sz w:val="24"/>
              </w:rPr>
            </w:pPr>
            <w:r>
              <w:rPr>
                <w:b/>
                <w:bCs/>
                <w:iCs/>
                <w:sz w:val="24"/>
              </w:rPr>
              <w:t>(1)</w:t>
            </w:r>
          </w:p>
        </w:tc>
        <w:tc>
          <w:tcPr>
            <w:tcW w:w="1848" w:type="dxa"/>
            <w:shd w:val="clear" w:color="auto" w:fill="F7CAAC" w:themeFill="accent2" w:themeFillTint="66"/>
          </w:tcPr>
          <w:p w:rsidR="0099481F" w:rsidRDefault="00FE232B">
            <w:pPr>
              <w:jc w:val="center"/>
              <w:rPr>
                <w:b/>
                <w:bCs/>
                <w:iCs/>
                <w:sz w:val="24"/>
              </w:rPr>
            </w:pPr>
            <w:r>
              <w:rPr>
                <w:b/>
                <w:bCs/>
                <w:iCs/>
                <w:sz w:val="24"/>
              </w:rPr>
              <w:t>(2)</w:t>
            </w:r>
          </w:p>
        </w:tc>
        <w:tc>
          <w:tcPr>
            <w:tcW w:w="2121" w:type="dxa"/>
            <w:shd w:val="clear" w:color="auto" w:fill="F7CAAC" w:themeFill="accent2" w:themeFillTint="66"/>
          </w:tcPr>
          <w:p w:rsidR="0099481F" w:rsidRDefault="00FE232B">
            <w:pPr>
              <w:jc w:val="center"/>
              <w:rPr>
                <w:b/>
                <w:bCs/>
                <w:iCs/>
                <w:sz w:val="24"/>
              </w:rPr>
            </w:pPr>
            <w:r>
              <w:rPr>
                <w:b/>
                <w:bCs/>
                <w:iCs/>
                <w:sz w:val="24"/>
              </w:rPr>
              <w:t>(3)</w:t>
            </w:r>
          </w:p>
        </w:tc>
        <w:tc>
          <w:tcPr>
            <w:tcW w:w="4003" w:type="dxa"/>
            <w:shd w:val="clear" w:color="auto" w:fill="F7CAAC" w:themeFill="accent2" w:themeFillTint="66"/>
          </w:tcPr>
          <w:p w:rsidR="0099481F" w:rsidRDefault="00FE232B">
            <w:pPr>
              <w:jc w:val="center"/>
              <w:rPr>
                <w:b/>
                <w:bCs/>
                <w:iCs/>
                <w:sz w:val="24"/>
              </w:rPr>
            </w:pPr>
            <w:r>
              <w:rPr>
                <w:b/>
                <w:bCs/>
                <w:iCs/>
                <w:sz w:val="24"/>
              </w:rPr>
              <w:t>(4)</w:t>
            </w:r>
          </w:p>
        </w:tc>
        <w:tc>
          <w:tcPr>
            <w:tcW w:w="1417" w:type="dxa"/>
            <w:shd w:val="clear" w:color="auto" w:fill="F7CAAC" w:themeFill="accent2" w:themeFillTint="66"/>
          </w:tcPr>
          <w:p w:rsidR="0099481F" w:rsidRDefault="00FE232B">
            <w:pPr>
              <w:jc w:val="center"/>
              <w:rPr>
                <w:b/>
                <w:bCs/>
                <w:iCs/>
                <w:sz w:val="24"/>
              </w:rPr>
            </w:pPr>
            <w:r>
              <w:rPr>
                <w:b/>
                <w:bCs/>
                <w:iCs/>
                <w:sz w:val="24"/>
              </w:rPr>
              <w:t>(5)</w:t>
            </w:r>
          </w:p>
        </w:tc>
        <w:tc>
          <w:tcPr>
            <w:tcW w:w="1275" w:type="dxa"/>
            <w:shd w:val="clear" w:color="auto" w:fill="F7CAAC" w:themeFill="accent2" w:themeFillTint="66"/>
          </w:tcPr>
          <w:p w:rsidR="0099481F" w:rsidRDefault="00FE232B">
            <w:pPr>
              <w:jc w:val="center"/>
              <w:rPr>
                <w:b/>
                <w:bCs/>
                <w:iCs/>
                <w:sz w:val="24"/>
              </w:rPr>
            </w:pPr>
            <w:r>
              <w:rPr>
                <w:b/>
                <w:bCs/>
                <w:iCs/>
                <w:sz w:val="24"/>
              </w:rPr>
              <w:t>(6)</w:t>
            </w:r>
          </w:p>
        </w:tc>
        <w:tc>
          <w:tcPr>
            <w:tcW w:w="1904" w:type="dxa"/>
            <w:shd w:val="clear" w:color="auto" w:fill="F7CAAC" w:themeFill="accent2" w:themeFillTint="66"/>
          </w:tcPr>
          <w:p w:rsidR="0099481F" w:rsidRDefault="00FE232B">
            <w:pPr>
              <w:jc w:val="center"/>
              <w:rPr>
                <w:b/>
                <w:bCs/>
                <w:iCs/>
                <w:sz w:val="24"/>
              </w:rPr>
            </w:pPr>
            <w:r>
              <w:rPr>
                <w:b/>
                <w:bCs/>
                <w:iCs/>
                <w:sz w:val="24"/>
              </w:rPr>
              <w:t>(7)</w:t>
            </w:r>
          </w:p>
        </w:tc>
        <w:tc>
          <w:tcPr>
            <w:tcW w:w="1710" w:type="dxa"/>
            <w:shd w:val="clear" w:color="auto" w:fill="F7CAAC" w:themeFill="accent2" w:themeFillTint="66"/>
          </w:tcPr>
          <w:p w:rsidR="0099481F" w:rsidRDefault="00FE232B">
            <w:pPr>
              <w:jc w:val="center"/>
              <w:rPr>
                <w:b/>
                <w:bCs/>
                <w:iCs/>
                <w:sz w:val="24"/>
              </w:rPr>
            </w:pPr>
            <w:r>
              <w:rPr>
                <w:b/>
                <w:bCs/>
                <w:iCs/>
                <w:sz w:val="24"/>
              </w:rPr>
              <w:t>(8)</w:t>
            </w:r>
          </w:p>
        </w:tc>
      </w:tr>
      <w:tr w:rsidR="0099481F">
        <w:trPr>
          <w:trHeight w:val="315"/>
        </w:trPr>
        <w:tc>
          <w:tcPr>
            <w:tcW w:w="15237" w:type="dxa"/>
            <w:gridSpan w:val="8"/>
            <w:vAlign w:val="center"/>
          </w:tcPr>
          <w:p w:rsidR="0099481F" w:rsidRDefault="00FE232B">
            <w:pPr>
              <w:ind w:left="1080"/>
              <w:jc w:val="center"/>
              <w:rPr>
                <w:b/>
                <w:sz w:val="26"/>
                <w:szCs w:val="26"/>
              </w:rPr>
            </w:pPr>
            <w:r>
              <w:rPr>
                <w:b/>
                <w:sz w:val="26"/>
                <w:szCs w:val="26"/>
              </w:rPr>
              <w:t>I. NÔNG NGHIỆP VÀ MÔI TRƯỜNG</w:t>
            </w:r>
          </w:p>
        </w:tc>
      </w:tr>
      <w:tr w:rsidR="0099481F">
        <w:tc>
          <w:tcPr>
            <w:tcW w:w="959" w:type="dxa"/>
            <w:vAlign w:val="center"/>
          </w:tcPr>
          <w:p w:rsidR="0099481F" w:rsidRDefault="00FE232B">
            <w:pPr>
              <w:jc w:val="center"/>
              <w:rPr>
                <w:bCs/>
                <w:iCs/>
                <w:sz w:val="26"/>
                <w:szCs w:val="26"/>
              </w:rPr>
            </w:pPr>
            <w:r>
              <w:rPr>
                <w:bCs/>
                <w:iCs/>
                <w:sz w:val="26"/>
                <w:szCs w:val="26"/>
              </w:rPr>
              <w:t>1.</w:t>
            </w:r>
          </w:p>
        </w:tc>
        <w:tc>
          <w:tcPr>
            <w:tcW w:w="1848" w:type="dxa"/>
            <w:vAlign w:val="center"/>
          </w:tcPr>
          <w:p w:rsidR="0099481F" w:rsidRDefault="00FE232B">
            <w:pPr>
              <w:jc w:val="both"/>
              <w:rPr>
                <w:bCs/>
                <w:iCs/>
                <w:sz w:val="26"/>
                <w:szCs w:val="26"/>
              </w:rPr>
            </w:pPr>
            <w:r>
              <w:rPr>
                <w:bCs/>
                <w:iCs/>
                <w:sz w:val="26"/>
                <w:szCs w:val="26"/>
              </w:rPr>
              <w:t xml:space="preserve">Nghị quyết số 16/2023/NQ-HĐND ngày 21/07/2023 của HĐND tỉnh Quảng Ngãi Quy định </w:t>
            </w:r>
            <w:r>
              <w:rPr>
                <w:bCs/>
                <w:iCs/>
                <w:sz w:val="26"/>
                <w:szCs w:val="26"/>
              </w:rPr>
              <w:t xml:space="preserve">chính </w:t>
            </w:r>
            <w:r>
              <w:rPr>
                <w:bCs/>
                <w:iCs/>
                <w:sz w:val="26"/>
                <w:szCs w:val="26"/>
              </w:rPr>
              <w:lastRenderedPageBreak/>
              <w:t>sách hỗ trợ thực hiện chủ trương "đồn điền đổi thửa" đối với đất nông nghiệp trồng cây hàng năm trên địa bàn tỉnh Quảng Ngãi, giai đoạn 2023-2025 và những năm tiếp theo</w:t>
            </w:r>
          </w:p>
        </w:tc>
        <w:tc>
          <w:tcPr>
            <w:tcW w:w="2121" w:type="dxa"/>
            <w:vAlign w:val="center"/>
          </w:tcPr>
          <w:p w:rsidR="0099481F" w:rsidRDefault="00FE232B">
            <w:pPr>
              <w:jc w:val="both"/>
              <w:rPr>
                <w:bCs/>
                <w:iCs/>
                <w:sz w:val="26"/>
                <w:szCs w:val="26"/>
              </w:rPr>
            </w:pPr>
            <w:r>
              <w:rPr>
                <w:bCs/>
                <w:iCs/>
                <w:sz w:val="26"/>
                <w:szCs w:val="26"/>
              </w:rPr>
              <w:lastRenderedPageBreak/>
              <w:t>Quy định pháp luật có liên quan và Luật ban hành văn bản QPPL số 64/2025/QH15 đượ</w:t>
            </w:r>
            <w:r>
              <w:rPr>
                <w:bCs/>
                <w:iCs/>
                <w:sz w:val="26"/>
                <w:szCs w:val="26"/>
              </w:rPr>
              <w:t xml:space="preserve">c sửa đổi, bổ sung tại Luật số </w:t>
            </w:r>
            <w:r>
              <w:rPr>
                <w:bCs/>
                <w:iCs/>
                <w:sz w:val="26"/>
                <w:szCs w:val="26"/>
              </w:rPr>
              <w:lastRenderedPageBreak/>
              <w:t>87/2025/QH15</w:t>
            </w:r>
          </w:p>
        </w:tc>
        <w:tc>
          <w:tcPr>
            <w:tcW w:w="4003" w:type="dxa"/>
            <w:vAlign w:val="center"/>
          </w:tcPr>
          <w:p w:rsidR="0099481F" w:rsidRDefault="00FE232B">
            <w:pPr>
              <w:jc w:val="both"/>
              <w:rPr>
                <w:bCs/>
                <w:iCs/>
                <w:sz w:val="26"/>
                <w:szCs w:val="26"/>
              </w:rPr>
            </w:pPr>
            <w:r>
              <w:rPr>
                <w:bCs/>
                <w:iCs/>
                <w:sz w:val="26"/>
                <w:szCs w:val="26"/>
              </w:rPr>
              <w:lastRenderedPageBreak/>
              <w:t>Nội dung tại Nghị quyết số 16/2023/NQ-HĐND ngày 21/7/2023 hiện nay không còn phù hợp với   thực tiễn và mô hình chính quyền địa phương hai cấp</w:t>
            </w:r>
          </w:p>
        </w:tc>
        <w:tc>
          <w:tcPr>
            <w:tcW w:w="1417" w:type="dxa"/>
            <w:vAlign w:val="center"/>
          </w:tcPr>
          <w:p w:rsidR="0099481F" w:rsidRDefault="00FE232B">
            <w:pPr>
              <w:jc w:val="both"/>
              <w:rPr>
                <w:bCs/>
                <w:iCs/>
                <w:sz w:val="26"/>
                <w:szCs w:val="26"/>
              </w:rPr>
            </w:pPr>
            <w:r>
              <w:rPr>
                <w:bCs/>
                <w:iCs/>
                <w:sz w:val="26"/>
                <w:szCs w:val="26"/>
              </w:rPr>
              <w:t>Thay thế</w:t>
            </w:r>
          </w:p>
        </w:tc>
        <w:tc>
          <w:tcPr>
            <w:tcW w:w="1275" w:type="dxa"/>
            <w:vAlign w:val="center"/>
          </w:tcPr>
          <w:p w:rsidR="0099481F" w:rsidRDefault="00FE232B">
            <w:pPr>
              <w:jc w:val="both"/>
              <w:rPr>
                <w:bCs/>
                <w:iCs/>
                <w:sz w:val="26"/>
                <w:szCs w:val="26"/>
              </w:rPr>
            </w:pPr>
            <w:r>
              <w:rPr>
                <w:bCs/>
                <w:iCs/>
                <w:sz w:val="26"/>
                <w:szCs w:val="26"/>
              </w:rPr>
              <w:t>Kỳ họp thường lệ cuối năm 2026</w:t>
            </w:r>
          </w:p>
        </w:tc>
        <w:tc>
          <w:tcPr>
            <w:tcW w:w="1904" w:type="dxa"/>
            <w:vAlign w:val="center"/>
          </w:tcPr>
          <w:p w:rsidR="0099481F" w:rsidRDefault="00FE232B">
            <w:pPr>
              <w:jc w:val="both"/>
              <w:rPr>
                <w:bCs/>
                <w:iCs/>
                <w:sz w:val="26"/>
                <w:szCs w:val="26"/>
              </w:rPr>
            </w:pPr>
            <w:r>
              <w:rPr>
                <w:bCs/>
                <w:iCs/>
                <w:sz w:val="26"/>
                <w:szCs w:val="26"/>
              </w:rPr>
              <w:t xml:space="preserve">Tiêu chí 2.3 </w:t>
            </w:r>
          </w:p>
        </w:tc>
        <w:tc>
          <w:tcPr>
            <w:tcW w:w="1710" w:type="dxa"/>
            <w:vAlign w:val="center"/>
          </w:tcPr>
          <w:p w:rsidR="0099481F" w:rsidRDefault="0099481F">
            <w:pPr>
              <w:jc w:val="both"/>
              <w:rPr>
                <w:bCs/>
                <w:iCs/>
                <w:sz w:val="26"/>
                <w:szCs w:val="26"/>
              </w:rPr>
            </w:pPr>
          </w:p>
        </w:tc>
      </w:tr>
      <w:tr w:rsidR="0099481F">
        <w:tc>
          <w:tcPr>
            <w:tcW w:w="959" w:type="dxa"/>
            <w:vAlign w:val="center"/>
          </w:tcPr>
          <w:p w:rsidR="0099481F" w:rsidRDefault="00FE232B">
            <w:pPr>
              <w:jc w:val="center"/>
              <w:rPr>
                <w:bCs/>
                <w:iCs/>
                <w:sz w:val="26"/>
                <w:szCs w:val="26"/>
              </w:rPr>
            </w:pPr>
            <w:r>
              <w:rPr>
                <w:bCs/>
                <w:iCs/>
                <w:sz w:val="26"/>
                <w:szCs w:val="26"/>
              </w:rPr>
              <w:lastRenderedPageBreak/>
              <w:t>2.</w:t>
            </w:r>
          </w:p>
        </w:tc>
        <w:tc>
          <w:tcPr>
            <w:tcW w:w="1848" w:type="dxa"/>
            <w:vAlign w:val="center"/>
          </w:tcPr>
          <w:p w:rsidR="0099481F" w:rsidRDefault="00FE232B">
            <w:pPr>
              <w:jc w:val="both"/>
              <w:rPr>
                <w:bCs/>
                <w:iCs/>
                <w:sz w:val="26"/>
                <w:szCs w:val="26"/>
              </w:rPr>
            </w:pPr>
            <w:r>
              <w:rPr>
                <w:bCs/>
                <w:iCs/>
                <w:sz w:val="26"/>
                <w:szCs w:val="26"/>
              </w:rPr>
              <w:t>Quyết định</w:t>
            </w:r>
            <w:r>
              <w:rPr>
                <w:bCs/>
                <w:iCs/>
                <w:sz w:val="26"/>
                <w:szCs w:val="26"/>
              </w:rPr>
              <w:t xml:space="preserve"> số 25/2022/QĐ-UBND ngày 12/07/2022 của UBND tỉnh Quảng Ngãi Ban hành cấp dự báo cháy rừng và các bảng tra cấp dự báo cháy rừng trên địa bàn tỉnh Kon Tum</w:t>
            </w:r>
          </w:p>
        </w:tc>
        <w:tc>
          <w:tcPr>
            <w:tcW w:w="2121" w:type="dxa"/>
            <w:vAlign w:val="center"/>
          </w:tcPr>
          <w:p w:rsidR="0099481F" w:rsidRDefault="00FE232B">
            <w:pPr>
              <w:jc w:val="both"/>
              <w:rPr>
                <w:bCs/>
                <w:iCs/>
                <w:sz w:val="26"/>
                <w:szCs w:val="26"/>
              </w:rPr>
            </w:pPr>
            <w:r>
              <w:rPr>
                <w:bCs/>
                <w:iCs/>
                <w:sz w:val="26"/>
                <w:szCs w:val="26"/>
              </w:rPr>
              <w:t>Quy định tại khoản 2 Điều 46 Nghị định số 156/2018/NĐ-CP ngày 16/11/2018 của Chính phủ quy định chi ti</w:t>
            </w:r>
            <w:r>
              <w:rPr>
                <w:bCs/>
                <w:iCs/>
                <w:sz w:val="26"/>
                <w:szCs w:val="26"/>
              </w:rPr>
              <w:t>ết thi hành một số điều của Luật Lâm nghiệp</w:t>
            </w:r>
          </w:p>
        </w:tc>
        <w:tc>
          <w:tcPr>
            <w:tcW w:w="4003" w:type="dxa"/>
            <w:vAlign w:val="center"/>
          </w:tcPr>
          <w:p w:rsidR="0099481F" w:rsidRDefault="00FE232B">
            <w:pPr>
              <w:jc w:val="both"/>
              <w:rPr>
                <w:bCs/>
                <w:iCs/>
                <w:sz w:val="26"/>
                <w:szCs w:val="26"/>
              </w:rPr>
            </w:pPr>
            <w:r>
              <w:rPr>
                <w:bCs/>
                <w:iCs/>
                <w:sz w:val="26"/>
                <w:szCs w:val="26"/>
              </w:rPr>
              <w:t xml:space="preserve">- Ban hành Quuyết định của UBND   tỉnh để áp dụng thống nhất trên địa bàn toàn tỉnh nhằm đảm bảo sự đồng bộ,   thống nhất và tạo cơ sở pháp lý rõ ràng để tổ chức triển khai thực hiện có   hiệu quả công tác phòng </w:t>
            </w:r>
            <w:r>
              <w:rPr>
                <w:bCs/>
                <w:iCs/>
                <w:sz w:val="26"/>
                <w:szCs w:val="26"/>
              </w:rPr>
              <w:t xml:space="preserve">cháy, chữa cháy rừng.     - Một số cơ sở pháp lý để ban hành Quyết định số 25/2022/QĐ-UBND của UBND   tỉnh Kon Tum không còn phù hợp với quy định hiện hành.     - Quy định tại khoản 2 Điều 46 Nghị định số 156/2018/NĐ-CP ngày 16/11/2018   của Chính phủ quy </w:t>
            </w:r>
            <w:r>
              <w:rPr>
                <w:bCs/>
                <w:iCs/>
                <w:sz w:val="26"/>
                <w:szCs w:val="26"/>
              </w:rPr>
              <w:t xml:space="preserve">định chi tiết thi hành một số điều của Luật Lâm nghiệp quy   định “Ủy ban nhân dân cấp tỉnh nơi có rừng ban hành cấp dự báo cháy rừng và   các bảng tra </w:t>
            </w:r>
            <w:r>
              <w:rPr>
                <w:bCs/>
                <w:iCs/>
                <w:sz w:val="26"/>
                <w:szCs w:val="26"/>
              </w:rPr>
              <w:lastRenderedPageBreak/>
              <w:t>cấp dự báo cháy rừng”.</w:t>
            </w:r>
          </w:p>
        </w:tc>
        <w:tc>
          <w:tcPr>
            <w:tcW w:w="1417" w:type="dxa"/>
            <w:vAlign w:val="center"/>
          </w:tcPr>
          <w:p w:rsidR="0099481F" w:rsidRDefault="00FE232B">
            <w:pPr>
              <w:jc w:val="both"/>
              <w:rPr>
                <w:bCs/>
                <w:iCs/>
                <w:sz w:val="26"/>
                <w:szCs w:val="26"/>
              </w:rPr>
            </w:pPr>
            <w:r>
              <w:rPr>
                <w:bCs/>
                <w:iCs/>
                <w:sz w:val="26"/>
                <w:szCs w:val="26"/>
              </w:rPr>
              <w:lastRenderedPageBreak/>
              <w:t>Thay thế</w:t>
            </w:r>
          </w:p>
        </w:tc>
        <w:tc>
          <w:tcPr>
            <w:tcW w:w="1275" w:type="dxa"/>
            <w:vAlign w:val="center"/>
          </w:tcPr>
          <w:p w:rsidR="0099481F" w:rsidRDefault="00FE232B">
            <w:pPr>
              <w:jc w:val="both"/>
              <w:rPr>
                <w:bCs/>
                <w:iCs/>
                <w:sz w:val="26"/>
                <w:szCs w:val="26"/>
              </w:rPr>
            </w:pPr>
            <w:r>
              <w:rPr>
                <w:bCs/>
                <w:iCs/>
                <w:sz w:val="26"/>
                <w:szCs w:val="26"/>
              </w:rPr>
              <w:t>Tháng 12/2026</w:t>
            </w:r>
          </w:p>
        </w:tc>
        <w:tc>
          <w:tcPr>
            <w:tcW w:w="1904" w:type="dxa"/>
            <w:vAlign w:val="center"/>
          </w:tcPr>
          <w:p w:rsidR="0099481F" w:rsidRDefault="00FE232B">
            <w:pPr>
              <w:jc w:val="both"/>
              <w:rPr>
                <w:bCs/>
                <w:iCs/>
                <w:sz w:val="26"/>
                <w:szCs w:val="26"/>
              </w:rPr>
            </w:pPr>
            <w:r>
              <w:rPr>
                <w:bCs/>
                <w:iCs/>
                <w:sz w:val="26"/>
                <w:szCs w:val="26"/>
              </w:rPr>
              <w:t xml:space="preserve">Tiêu chí 2.3 </w:t>
            </w:r>
          </w:p>
        </w:tc>
        <w:tc>
          <w:tcPr>
            <w:tcW w:w="1710" w:type="dxa"/>
            <w:vAlign w:val="center"/>
          </w:tcPr>
          <w:p w:rsidR="0099481F" w:rsidRDefault="0099481F">
            <w:pPr>
              <w:jc w:val="both"/>
              <w:rPr>
                <w:bCs/>
                <w:iCs/>
                <w:sz w:val="26"/>
                <w:szCs w:val="26"/>
              </w:rPr>
            </w:pPr>
          </w:p>
        </w:tc>
      </w:tr>
      <w:tr w:rsidR="0099481F">
        <w:tc>
          <w:tcPr>
            <w:tcW w:w="959" w:type="dxa"/>
            <w:vAlign w:val="center"/>
          </w:tcPr>
          <w:p w:rsidR="0099481F" w:rsidRDefault="00FE232B">
            <w:pPr>
              <w:jc w:val="center"/>
              <w:rPr>
                <w:bCs/>
                <w:iCs/>
                <w:sz w:val="26"/>
                <w:szCs w:val="26"/>
              </w:rPr>
            </w:pPr>
            <w:r>
              <w:rPr>
                <w:bCs/>
                <w:iCs/>
                <w:sz w:val="26"/>
                <w:szCs w:val="26"/>
              </w:rPr>
              <w:lastRenderedPageBreak/>
              <w:t>3.</w:t>
            </w:r>
          </w:p>
        </w:tc>
        <w:tc>
          <w:tcPr>
            <w:tcW w:w="1848" w:type="dxa"/>
            <w:vAlign w:val="center"/>
          </w:tcPr>
          <w:p w:rsidR="0099481F" w:rsidRDefault="00FE232B">
            <w:pPr>
              <w:jc w:val="both"/>
              <w:rPr>
                <w:bCs/>
                <w:iCs/>
                <w:sz w:val="26"/>
                <w:szCs w:val="26"/>
              </w:rPr>
            </w:pPr>
            <w:r>
              <w:rPr>
                <w:bCs/>
                <w:iCs/>
                <w:sz w:val="26"/>
                <w:szCs w:val="26"/>
              </w:rPr>
              <w:t>Quyết định số 48/2024/QĐ-UBND ngày 19/0</w:t>
            </w:r>
            <w:r>
              <w:rPr>
                <w:bCs/>
                <w:iCs/>
                <w:sz w:val="26"/>
                <w:szCs w:val="26"/>
              </w:rPr>
              <w:t>9/2024 của UBND tỉnh Kon Tum Quy định về bồi thường, hỗ trợ, tái   định cư khi Nhà nước thu hồi đất trên địa bàn tỉnh Kon Tum</w:t>
            </w:r>
          </w:p>
        </w:tc>
        <w:tc>
          <w:tcPr>
            <w:tcW w:w="2121" w:type="dxa"/>
            <w:vAlign w:val="center"/>
          </w:tcPr>
          <w:p w:rsidR="0099481F" w:rsidRDefault="00FE232B">
            <w:pPr>
              <w:jc w:val="both"/>
              <w:rPr>
                <w:bCs/>
                <w:iCs/>
                <w:sz w:val="26"/>
                <w:szCs w:val="26"/>
              </w:rPr>
            </w:pPr>
            <w:r>
              <w:rPr>
                <w:bCs/>
                <w:iCs/>
                <w:sz w:val="26"/>
                <w:szCs w:val="26"/>
              </w:rPr>
              <w:t xml:space="preserve">Quy định pháp luật có   liên quan và Luật ban hành văn bản QPPL số 64/2025/QH15 được sửa đổi, bổ sung tại Luật số 87/2025/QH15; </w:t>
            </w:r>
            <w:r>
              <w:rPr>
                <w:bCs/>
                <w:iCs/>
                <w:sz w:val="26"/>
                <w:szCs w:val="26"/>
              </w:rPr>
              <w:t>Nghị quyết 254/2025/QH15 giao UBND tỉnh quy định</w:t>
            </w:r>
          </w:p>
        </w:tc>
        <w:tc>
          <w:tcPr>
            <w:tcW w:w="4003" w:type="dxa"/>
            <w:vAlign w:val="center"/>
          </w:tcPr>
          <w:p w:rsidR="0099481F" w:rsidRDefault="00FE232B">
            <w:pPr>
              <w:jc w:val="both"/>
              <w:rPr>
                <w:bCs/>
                <w:iCs/>
                <w:sz w:val="26"/>
                <w:szCs w:val="26"/>
              </w:rPr>
            </w:pPr>
            <w:r>
              <w:rPr>
                <w:bCs/>
                <w:iCs/>
                <w:sz w:val="26"/>
                <w:szCs w:val="26"/>
              </w:rPr>
              <w:t>Hiện nay không còn phù hợp với thực tiễn và mô hình chính quyền địa phương hai cấp. Ban hành Quyết định của UBND tỉnh để áp dụng thống nhất trên địa bàn toàn tỉnh.</w:t>
            </w:r>
          </w:p>
        </w:tc>
        <w:tc>
          <w:tcPr>
            <w:tcW w:w="1417" w:type="dxa"/>
            <w:vAlign w:val="center"/>
          </w:tcPr>
          <w:p w:rsidR="0099481F" w:rsidRDefault="00FE232B">
            <w:pPr>
              <w:jc w:val="both"/>
              <w:rPr>
                <w:bCs/>
                <w:iCs/>
                <w:sz w:val="26"/>
                <w:szCs w:val="26"/>
              </w:rPr>
            </w:pPr>
            <w:r>
              <w:rPr>
                <w:bCs/>
                <w:iCs/>
                <w:sz w:val="26"/>
                <w:szCs w:val="26"/>
              </w:rPr>
              <w:t>Thay thế</w:t>
            </w:r>
          </w:p>
        </w:tc>
        <w:tc>
          <w:tcPr>
            <w:tcW w:w="1275" w:type="dxa"/>
            <w:vAlign w:val="center"/>
          </w:tcPr>
          <w:p w:rsidR="0099481F" w:rsidRDefault="00FE232B">
            <w:pPr>
              <w:jc w:val="both"/>
              <w:rPr>
                <w:bCs/>
                <w:iCs/>
                <w:sz w:val="26"/>
                <w:szCs w:val="26"/>
              </w:rPr>
            </w:pPr>
            <w:r>
              <w:rPr>
                <w:bCs/>
                <w:iCs/>
                <w:sz w:val="26"/>
                <w:szCs w:val="26"/>
              </w:rPr>
              <w:t>Sau  khi Luật Đất đai (sửa đổi) đư</w:t>
            </w:r>
            <w:r>
              <w:rPr>
                <w:bCs/>
                <w:iCs/>
                <w:sz w:val="26"/>
                <w:szCs w:val="26"/>
              </w:rPr>
              <w:t>ợc ban hành; hoàn thành trước ngày 01/3/2027</w:t>
            </w:r>
          </w:p>
        </w:tc>
        <w:tc>
          <w:tcPr>
            <w:tcW w:w="1904" w:type="dxa"/>
            <w:vAlign w:val="center"/>
          </w:tcPr>
          <w:p w:rsidR="0099481F" w:rsidRDefault="00FE232B">
            <w:pPr>
              <w:jc w:val="both"/>
              <w:rPr>
                <w:bCs/>
                <w:iCs/>
                <w:sz w:val="26"/>
                <w:szCs w:val="26"/>
              </w:rPr>
            </w:pPr>
            <w:r>
              <w:rPr>
                <w:bCs/>
                <w:iCs/>
                <w:sz w:val="26"/>
                <w:szCs w:val="26"/>
              </w:rPr>
              <w:t xml:space="preserve">Tiêu chí 2.3 </w:t>
            </w:r>
          </w:p>
        </w:tc>
        <w:tc>
          <w:tcPr>
            <w:tcW w:w="1710" w:type="dxa"/>
            <w:vAlign w:val="center"/>
          </w:tcPr>
          <w:p w:rsidR="0099481F" w:rsidRDefault="00FE232B">
            <w:pPr>
              <w:jc w:val="both"/>
              <w:rPr>
                <w:bCs/>
                <w:iCs/>
                <w:sz w:val="26"/>
                <w:szCs w:val="26"/>
              </w:rPr>
            </w:pPr>
            <w:r>
              <w:rPr>
                <w:bCs/>
                <w:iCs/>
                <w:sz w:val="26"/>
                <w:szCs w:val="26"/>
              </w:rPr>
              <w:t>Theo Thông báo số 554/TB-UBND ngày 08/6/2026</w:t>
            </w:r>
          </w:p>
        </w:tc>
      </w:tr>
      <w:tr w:rsidR="0099481F">
        <w:tc>
          <w:tcPr>
            <w:tcW w:w="959" w:type="dxa"/>
            <w:vAlign w:val="center"/>
          </w:tcPr>
          <w:p w:rsidR="0099481F" w:rsidRDefault="00FE232B">
            <w:pPr>
              <w:jc w:val="center"/>
              <w:rPr>
                <w:bCs/>
                <w:iCs/>
                <w:sz w:val="26"/>
                <w:szCs w:val="26"/>
              </w:rPr>
            </w:pPr>
            <w:r>
              <w:rPr>
                <w:bCs/>
                <w:iCs/>
                <w:sz w:val="26"/>
                <w:szCs w:val="26"/>
              </w:rPr>
              <w:t>4.</w:t>
            </w:r>
          </w:p>
        </w:tc>
        <w:tc>
          <w:tcPr>
            <w:tcW w:w="1848" w:type="dxa"/>
            <w:vAlign w:val="center"/>
          </w:tcPr>
          <w:p w:rsidR="0099481F" w:rsidRDefault="00FE232B">
            <w:pPr>
              <w:jc w:val="both"/>
              <w:rPr>
                <w:bCs/>
                <w:iCs/>
                <w:sz w:val="26"/>
                <w:szCs w:val="26"/>
              </w:rPr>
            </w:pPr>
            <w:r>
              <w:rPr>
                <w:bCs/>
                <w:iCs/>
                <w:sz w:val="26"/>
                <w:szCs w:val="26"/>
              </w:rPr>
              <w:t xml:space="preserve">Quyết định số 49/2024/QĐ-UBND ngày 24/09/2024 của UBND tỉnh Kon Tum Quy định hạn mức giao đất nông nghiệp do tự khai hoang; hạn mức giao đất ở; hạn </w:t>
            </w:r>
            <w:r>
              <w:rPr>
                <w:bCs/>
                <w:iCs/>
                <w:sz w:val="26"/>
                <w:szCs w:val="26"/>
              </w:rPr>
              <w:t xml:space="preserve">mức công nhận đất ở đối với thửa đất được hình thành trước ngày 15 tháng 10 năm 1993; </w:t>
            </w:r>
            <w:r>
              <w:rPr>
                <w:bCs/>
                <w:iCs/>
                <w:sz w:val="26"/>
                <w:szCs w:val="26"/>
              </w:rPr>
              <w:lastRenderedPageBreak/>
              <w:t>hạn mức giao đất chưa sử dụng; hạn mức nhận chuyển quyền sử dụng đất nông nghiệp trên địa bàn tỉnh Kon Tum.</w:t>
            </w:r>
          </w:p>
        </w:tc>
        <w:tc>
          <w:tcPr>
            <w:tcW w:w="2121" w:type="dxa"/>
            <w:vAlign w:val="center"/>
          </w:tcPr>
          <w:p w:rsidR="0099481F" w:rsidRDefault="00FE232B">
            <w:pPr>
              <w:jc w:val="both"/>
              <w:rPr>
                <w:bCs/>
                <w:iCs/>
                <w:sz w:val="26"/>
                <w:szCs w:val="26"/>
              </w:rPr>
            </w:pPr>
            <w:r>
              <w:rPr>
                <w:bCs/>
                <w:iCs/>
                <w:sz w:val="26"/>
                <w:szCs w:val="26"/>
              </w:rPr>
              <w:lastRenderedPageBreak/>
              <w:t>Căn cứ Luật Đất đai năm 2024; Luật sửa đổi, bổ sung một số điề</w:t>
            </w:r>
            <w:r>
              <w:rPr>
                <w:bCs/>
                <w:iCs/>
                <w:sz w:val="26"/>
                <w:szCs w:val="26"/>
              </w:rPr>
              <w:t xml:space="preserve">u của Luật Đất đai số 31/2024/QH15, Luật Nhà ở số 27/2023/QH15, Luật Kinh doanh bất động sản số 29/2023/QH15 và Luật Các tổ chức tín dụng số 32/2024/QH15; các Nghị định của Chính phủ: số 101/2024/NĐ-CP </w:t>
            </w:r>
            <w:r>
              <w:rPr>
                <w:bCs/>
                <w:iCs/>
                <w:sz w:val="26"/>
                <w:szCs w:val="26"/>
              </w:rPr>
              <w:lastRenderedPageBreak/>
              <w:t>ngày 29/7/2024; số 102/2024/NĐ-CP ngày 30/7/2024; số 1</w:t>
            </w:r>
            <w:r>
              <w:rPr>
                <w:bCs/>
                <w:iCs/>
                <w:sz w:val="26"/>
                <w:szCs w:val="26"/>
              </w:rPr>
              <w:t>51/2025/NĐ-CP ngày 12/6/2025 của Chính phủ quy định về phân định thẩm quyền của chính quyền địa phương 02 cấp, phân quyền, phân cấp trong lĩnh vực đất đai;</w:t>
            </w:r>
          </w:p>
        </w:tc>
        <w:tc>
          <w:tcPr>
            <w:tcW w:w="4003" w:type="dxa"/>
            <w:vAlign w:val="center"/>
          </w:tcPr>
          <w:p w:rsidR="0099481F" w:rsidRDefault="00FE232B">
            <w:pPr>
              <w:jc w:val="both"/>
              <w:rPr>
                <w:bCs/>
                <w:iCs/>
                <w:sz w:val="26"/>
                <w:szCs w:val="26"/>
              </w:rPr>
            </w:pPr>
            <w:r>
              <w:rPr>
                <w:bCs/>
                <w:iCs/>
                <w:sz w:val="26"/>
                <w:szCs w:val="26"/>
              </w:rPr>
              <w:lastRenderedPageBreak/>
              <w:t>Nội dung quy định hiện nay không còn phù hợp với thực tiễn và mô hình chính quyền địa phương hai cấp</w:t>
            </w:r>
            <w:r>
              <w:rPr>
                <w:bCs/>
                <w:iCs/>
                <w:sz w:val="26"/>
                <w:szCs w:val="26"/>
              </w:rPr>
              <w:t>; bổ sung 03 nội   dung mà Nghị quyết 254/2025/QH15 giao UBND tỉnh quy định</w:t>
            </w:r>
          </w:p>
        </w:tc>
        <w:tc>
          <w:tcPr>
            <w:tcW w:w="1417" w:type="dxa"/>
            <w:vAlign w:val="center"/>
          </w:tcPr>
          <w:p w:rsidR="0099481F" w:rsidRDefault="00FE232B">
            <w:pPr>
              <w:jc w:val="both"/>
              <w:rPr>
                <w:bCs/>
                <w:iCs/>
                <w:sz w:val="26"/>
                <w:szCs w:val="26"/>
              </w:rPr>
            </w:pPr>
            <w:r>
              <w:rPr>
                <w:bCs/>
                <w:iCs/>
                <w:sz w:val="26"/>
                <w:szCs w:val="26"/>
              </w:rPr>
              <w:t>Thay thế</w:t>
            </w:r>
          </w:p>
        </w:tc>
        <w:tc>
          <w:tcPr>
            <w:tcW w:w="1275" w:type="dxa"/>
            <w:vAlign w:val="center"/>
          </w:tcPr>
          <w:p w:rsidR="0099481F" w:rsidRDefault="00FE232B">
            <w:pPr>
              <w:jc w:val="both"/>
              <w:rPr>
                <w:bCs/>
                <w:iCs/>
                <w:sz w:val="26"/>
                <w:szCs w:val="26"/>
              </w:rPr>
            </w:pPr>
            <w:r>
              <w:rPr>
                <w:bCs/>
                <w:iCs/>
                <w:sz w:val="26"/>
                <w:szCs w:val="26"/>
              </w:rPr>
              <w:t>Sau  khi Luật Đất đai (sửa đổi) được ban hành; hoàn thành trước ngày 01/3/2027</w:t>
            </w:r>
          </w:p>
        </w:tc>
        <w:tc>
          <w:tcPr>
            <w:tcW w:w="1904" w:type="dxa"/>
            <w:vAlign w:val="center"/>
          </w:tcPr>
          <w:p w:rsidR="0099481F" w:rsidRDefault="00FE232B">
            <w:pPr>
              <w:jc w:val="both"/>
              <w:rPr>
                <w:bCs/>
                <w:iCs/>
                <w:sz w:val="26"/>
                <w:szCs w:val="26"/>
              </w:rPr>
            </w:pPr>
            <w:r>
              <w:rPr>
                <w:bCs/>
                <w:iCs/>
                <w:sz w:val="26"/>
                <w:szCs w:val="26"/>
              </w:rPr>
              <w:t xml:space="preserve">Tiêu chí 2.3 </w:t>
            </w:r>
          </w:p>
        </w:tc>
        <w:tc>
          <w:tcPr>
            <w:tcW w:w="1710" w:type="dxa"/>
            <w:vAlign w:val="center"/>
          </w:tcPr>
          <w:p w:rsidR="0099481F" w:rsidRDefault="00FE232B">
            <w:pPr>
              <w:jc w:val="both"/>
              <w:rPr>
                <w:bCs/>
                <w:iCs/>
                <w:sz w:val="26"/>
                <w:szCs w:val="26"/>
              </w:rPr>
            </w:pPr>
            <w:r>
              <w:rPr>
                <w:bCs/>
                <w:iCs/>
                <w:sz w:val="26"/>
                <w:szCs w:val="26"/>
              </w:rPr>
              <w:t>Theo Thông báo số 899/TB-UBND ngày 24/8/2026</w:t>
            </w:r>
          </w:p>
        </w:tc>
      </w:tr>
      <w:tr w:rsidR="0099481F">
        <w:tc>
          <w:tcPr>
            <w:tcW w:w="959" w:type="dxa"/>
            <w:vAlign w:val="center"/>
          </w:tcPr>
          <w:p w:rsidR="0099481F" w:rsidRDefault="00FE232B">
            <w:pPr>
              <w:jc w:val="center"/>
              <w:rPr>
                <w:bCs/>
                <w:iCs/>
                <w:sz w:val="26"/>
                <w:szCs w:val="26"/>
              </w:rPr>
            </w:pPr>
            <w:r>
              <w:rPr>
                <w:bCs/>
                <w:iCs/>
                <w:sz w:val="26"/>
                <w:szCs w:val="26"/>
              </w:rPr>
              <w:lastRenderedPageBreak/>
              <w:t>5.</w:t>
            </w:r>
          </w:p>
        </w:tc>
        <w:tc>
          <w:tcPr>
            <w:tcW w:w="1848" w:type="dxa"/>
            <w:vAlign w:val="center"/>
          </w:tcPr>
          <w:p w:rsidR="0099481F" w:rsidRDefault="00FE232B">
            <w:pPr>
              <w:jc w:val="both"/>
              <w:rPr>
                <w:bCs/>
                <w:iCs/>
                <w:sz w:val="26"/>
                <w:szCs w:val="26"/>
              </w:rPr>
            </w:pPr>
            <w:r>
              <w:rPr>
                <w:bCs/>
                <w:iCs/>
                <w:sz w:val="26"/>
                <w:szCs w:val="26"/>
              </w:rPr>
              <w:t>Quyết định số 32/2024/QĐ-UBND</w:t>
            </w:r>
            <w:r>
              <w:rPr>
                <w:bCs/>
                <w:iCs/>
                <w:sz w:val="26"/>
                <w:szCs w:val="26"/>
              </w:rPr>
              <w:t xml:space="preserve"> ngày 14/10/2024 của UBND tỉnh Quảng Ngãi Quy định chi tiết một số nội dung về bồi thường hỗ trợ và tái định cư khi Nhà nước thu hồi đất áp dụng trên địa bàn tỉnh Quảng Ngãi</w:t>
            </w:r>
          </w:p>
        </w:tc>
        <w:tc>
          <w:tcPr>
            <w:tcW w:w="2121" w:type="dxa"/>
            <w:vAlign w:val="center"/>
          </w:tcPr>
          <w:p w:rsidR="0099481F" w:rsidRDefault="00FE232B">
            <w:pPr>
              <w:jc w:val="both"/>
              <w:rPr>
                <w:bCs/>
                <w:iCs/>
                <w:sz w:val="26"/>
                <w:szCs w:val="26"/>
              </w:rPr>
            </w:pPr>
            <w:r>
              <w:rPr>
                <w:bCs/>
                <w:iCs/>
                <w:sz w:val="26"/>
                <w:szCs w:val="26"/>
              </w:rPr>
              <w:t>Quy định pháp luật có   liên quan và Luật ban hành văn bản QPPL số 64/2025/QH15 đư</w:t>
            </w:r>
            <w:r>
              <w:rPr>
                <w:bCs/>
                <w:iCs/>
                <w:sz w:val="26"/>
                <w:szCs w:val="26"/>
              </w:rPr>
              <w:t>ợc sửa đổi, bổ sung tại Luật số 87/2025/QH15; Nghị quyết 254/2025/QH15 giao UBND tỉnh quy định</w:t>
            </w:r>
          </w:p>
        </w:tc>
        <w:tc>
          <w:tcPr>
            <w:tcW w:w="4003" w:type="dxa"/>
            <w:vAlign w:val="center"/>
          </w:tcPr>
          <w:p w:rsidR="0099481F" w:rsidRDefault="00FE232B">
            <w:pPr>
              <w:jc w:val="both"/>
              <w:rPr>
                <w:bCs/>
                <w:iCs/>
                <w:sz w:val="26"/>
                <w:szCs w:val="26"/>
              </w:rPr>
            </w:pPr>
            <w:r>
              <w:rPr>
                <w:bCs/>
                <w:iCs/>
                <w:sz w:val="26"/>
                <w:szCs w:val="26"/>
              </w:rPr>
              <w:t>Hiện nay không còn phù hợp với thực tiễn và mô hình chính quyền địa phương hai cấp. Ban hành Quyết định của UBND tỉnh để áp dụng thống nhất trên địa bàn toàn tỉn</w:t>
            </w:r>
            <w:r>
              <w:rPr>
                <w:bCs/>
                <w:iCs/>
                <w:sz w:val="26"/>
                <w:szCs w:val="26"/>
              </w:rPr>
              <w:t>h.</w:t>
            </w:r>
          </w:p>
        </w:tc>
        <w:tc>
          <w:tcPr>
            <w:tcW w:w="1417" w:type="dxa"/>
            <w:vAlign w:val="center"/>
          </w:tcPr>
          <w:p w:rsidR="0099481F" w:rsidRDefault="00FE232B">
            <w:pPr>
              <w:jc w:val="both"/>
              <w:rPr>
                <w:bCs/>
                <w:iCs/>
                <w:sz w:val="26"/>
                <w:szCs w:val="26"/>
              </w:rPr>
            </w:pPr>
            <w:r>
              <w:rPr>
                <w:bCs/>
                <w:iCs/>
                <w:sz w:val="26"/>
                <w:szCs w:val="26"/>
              </w:rPr>
              <w:t>Thay thế</w:t>
            </w:r>
          </w:p>
        </w:tc>
        <w:tc>
          <w:tcPr>
            <w:tcW w:w="1275" w:type="dxa"/>
            <w:vAlign w:val="center"/>
          </w:tcPr>
          <w:p w:rsidR="0099481F" w:rsidRDefault="00FE232B">
            <w:pPr>
              <w:jc w:val="both"/>
              <w:rPr>
                <w:bCs/>
                <w:iCs/>
                <w:sz w:val="26"/>
                <w:szCs w:val="26"/>
              </w:rPr>
            </w:pPr>
            <w:r>
              <w:rPr>
                <w:bCs/>
                <w:iCs/>
                <w:sz w:val="26"/>
                <w:szCs w:val="26"/>
              </w:rPr>
              <w:t>Sau khi Luật Đất đai (sửa đổi) được ban hành; hoàn thành trước   ngày 01/3/2027</w:t>
            </w:r>
          </w:p>
        </w:tc>
        <w:tc>
          <w:tcPr>
            <w:tcW w:w="1904" w:type="dxa"/>
            <w:vAlign w:val="center"/>
          </w:tcPr>
          <w:p w:rsidR="0099481F" w:rsidRDefault="00FE232B">
            <w:pPr>
              <w:jc w:val="both"/>
              <w:rPr>
                <w:bCs/>
                <w:iCs/>
                <w:sz w:val="26"/>
                <w:szCs w:val="26"/>
              </w:rPr>
            </w:pPr>
            <w:r>
              <w:rPr>
                <w:bCs/>
                <w:iCs/>
                <w:sz w:val="26"/>
                <w:szCs w:val="26"/>
              </w:rPr>
              <w:t xml:space="preserve">Tiêu chí 2.3 </w:t>
            </w:r>
          </w:p>
        </w:tc>
        <w:tc>
          <w:tcPr>
            <w:tcW w:w="1710" w:type="dxa"/>
            <w:vAlign w:val="center"/>
          </w:tcPr>
          <w:p w:rsidR="0099481F" w:rsidRDefault="00FE232B">
            <w:pPr>
              <w:jc w:val="both"/>
              <w:rPr>
                <w:bCs/>
                <w:iCs/>
                <w:sz w:val="26"/>
                <w:szCs w:val="26"/>
              </w:rPr>
            </w:pPr>
            <w:r>
              <w:rPr>
                <w:bCs/>
                <w:iCs/>
                <w:sz w:val="26"/>
                <w:szCs w:val="26"/>
              </w:rPr>
              <w:t>Theo Thông báo số 554/TB-UBND ngày 08/6/2026</w:t>
            </w:r>
          </w:p>
        </w:tc>
      </w:tr>
      <w:tr w:rsidR="0099481F">
        <w:tc>
          <w:tcPr>
            <w:tcW w:w="959" w:type="dxa"/>
            <w:vAlign w:val="center"/>
          </w:tcPr>
          <w:p w:rsidR="0099481F" w:rsidRDefault="00FE232B">
            <w:pPr>
              <w:jc w:val="center"/>
              <w:rPr>
                <w:bCs/>
                <w:iCs/>
                <w:sz w:val="26"/>
                <w:szCs w:val="26"/>
              </w:rPr>
            </w:pPr>
            <w:r>
              <w:rPr>
                <w:bCs/>
                <w:iCs/>
                <w:sz w:val="26"/>
                <w:szCs w:val="26"/>
              </w:rPr>
              <w:t>6.</w:t>
            </w:r>
          </w:p>
        </w:tc>
        <w:tc>
          <w:tcPr>
            <w:tcW w:w="1848" w:type="dxa"/>
            <w:vAlign w:val="center"/>
          </w:tcPr>
          <w:p w:rsidR="0099481F" w:rsidRDefault="00FE232B">
            <w:pPr>
              <w:jc w:val="both"/>
              <w:rPr>
                <w:bCs/>
                <w:iCs/>
                <w:sz w:val="26"/>
                <w:szCs w:val="26"/>
              </w:rPr>
            </w:pPr>
            <w:r>
              <w:rPr>
                <w:bCs/>
                <w:iCs/>
                <w:sz w:val="26"/>
                <w:szCs w:val="26"/>
              </w:rPr>
              <w:t>Quyết định số 33/2024/QĐ-</w:t>
            </w:r>
            <w:r>
              <w:rPr>
                <w:bCs/>
                <w:iCs/>
                <w:sz w:val="26"/>
                <w:szCs w:val="26"/>
              </w:rPr>
              <w:lastRenderedPageBreak/>
              <w:t xml:space="preserve">UBND ngày 14/10/2024 của UBND tỉnh Quảng   Ngãi Quy định đơn giá bồi thường </w:t>
            </w:r>
            <w:r>
              <w:rPr>
                <w:bCs/>
                <w:iCs/>
                <w:sz w:val="26"/>
                <w:szCs w:val="26"/>
              </w:rPr>
              <w:t>thiệt hại về cây trồng, vật nuôi là thuỷ sản và mức bồi thường, hỗ trợ chi phí di dời đối với vật nuôi là thuỷ sản khi Nhà nước thu hồi đất trên địa bàn tỉnh Quảng Ngãi</w:t>
            </w:r>
          </w:p>
        </w:tc>
        <w:tc>
          <w:tcPr>
            <w:tcW w:w="2121" w:type="dxa"/>
            <w:vAlign w:val="center"/>
          </w:tcPr>
          <w:p w:rsidR="0099481F" w:rsidRDefault="00FE232B">
            <w:pPr>
              <w:jc w:val="both"/>
              <w:rPr>
                <w:bCs/>
                <w:iCs/>
                <w:sz w:val="26"/>
                <w:szCs w:val="26"/>
              </w:rPr>
            </w:pPr>
            <w:r>
              <w:rPr>
                <w:bCs/>
                <w:iCs/>
                <w:sz w:val="26"/>
                <w:szCs w:val="26"/>
              </w:rPr>
              <w:lastRenderedPageBreak/>
              <w:t xml:space="preserve">Luật ban hành văn bản   quy </w:t>
            </w:r>
            <w:r>
              <w:rPr>
                <w:bCs/>
                <w:iCs/>
                <w:sz w:val="26"/>
                <w:szCs w:val="26"/>
              </w:rPr>
              <w:lastRenderedPageBreak/>
              <w:t>phạm pháp luật số 64/2025/QH15 ngày 19 tháng 02 năm 2025; N</w:t>
            </w:r>
            <w:r>
              <w:rPr>
                <w:bCs/>
                <w:iCs/>
                <w:sz w:val="26"/>
                <w:szCs w:val="26"/>
              </w:rPr>
              <w:t>ghị định số 226/2025/NĐ-CP ngày 15 tháng 8 năm 2025 của Chính phủ sửa đổi, bổ sung một số điều của các Nghị định quy định chi tiết thi hành Luật Đất đai</w:t>
            </w:r>
          </w:p>
        </w:tc>
        <w:tc>
          <w:tcPr>
            <w:tcW w:w="4003" w:type="dxa"/>
            <w:vAlign w:val="center"/>
          </w:tcPr>
          <w:p w:rsidR="0099481F" w:rsidRDefault="00FE232B">
            <w:pPr>
              <w:jc w:val="both"/>
              <w:rPr>
                <w:bCs/>
                <w:iCs/>
                <w:sz w:val="26"/>
                <w:szCs w:val="26"/>
              </w:rPr>
            </w:pPr>
            <w:r>
              <w:rPr>
                <w:bCs/>
                <w:iCs/>
                <w:sz w:val="26"/>
                <w:szCs w:val="26"/>
              </w:rPr>
              <w:lastRenderedPageBreak/>
              <w:t xml:space="preserve">Thực   hiện Nghị quyết số 202/2025/QH15 ngày 12/6/2025 </w:t>
            </w:r>
            <w:r>
              <w:rPr>
                <w:bCs/>
                <w:iCs/>
                <w:sz w:val="26"/>
                <w:szCs w:val="26"/>
              </w:rPr>
              <w:lastRenderedPageBreak/>
              <w:t>của Quốc hội, sau khi sắp xếp lại đơn vị hành ch</w:t>
            </w:r>
            <w:r>
              <w:rPr>
                <w:bCs/>
                <w:iCs/>
                <w:sz w:val="26"/>
                <w:szCs w:val="26"/>
              </w:rPr>
              <w:t>ính cấp tỉnh và tổ chức chính quyền địa phương theo mô hình hai cấp (cấp tỉnh, cấp xã), trên địa bàn tỉnh Quảng Ngãi hiện đang cùng lúc   tồn tại 02 quyết định quy định về đơn giá bồi thường thiệt hại về cây trồng, vật nuôi khi Nhà nước thu hồi đất là khôn</w:t>
            </w:r>
            <w:r>
              <w:rPr>
                <w:bCs/>
                <w:iCs/>
                <w:sz w:val="26"/>
                <w:szCs w:val="26"/>
              </w:rPr>
              <w:t>g phù hợp, điều này gây khó khăn   trong quá trình áp dụng và ảnh hưởng đến tiến độ các dự án đầu tư công, dự án   trọng điểm trên địa bàn tỉnh Quảng Ngãi.</w:t>
            </w:r>
          </w:p>
        </w:tc>
        <w:tc>
          <w:tcPr>
            <w:tcW w:w="1417" w:type="dxa"/>
            <w:vAlign w:val="center"/>
          </w:tcPr>
          <w:p w:rsidR="0099481F" w:rsidRDefault="00FE232B">
            <w:pPr>
              <w:jc w:val="both"/>
              <w:rPr>
                <w:bCs/>
                <w:iCs/>
                <w:sz w:val="26"/>
                <w:szCs w:val="26"/>
              </w:rPr>
            </w:pPr>
            <w:r>
              <w:rPr>
                <w:bCs/>
                <w:iCs/>
                <w:sz w:val="26"/>
                <w:szCs w:val="26"/>
              </w:rPr>
              <w:lastRenderedPageBreak/>
              <w:t>Thay thế</w:t>
            </w:r>
          </w:p>
        </w:tc>
        <w:tc>
          <w:tcPr>
            <w:tcW w:w="1275" w:type="dxa"/>
            <w:vAlign w:val="center"/>
          </w:tcPr>
          <w:p w:rsidR="0099481F" w:rsidRDefault="00FE232B">
            <w:pPr>
              <w:jc w:val="both"/>
              <w:rPr>
                <w:bCs/>
                <w:iCs/>
                <w:sz w:val="26"/>
                <w:szCs w:val="26"/>
              </w:rPr>
            </w:pPr>
            <w:r>
              <w:rPr>
                <w:bCs/>
                <w:iCs/>
                <w:sz w:val="26"/>
                <w:szCs w:val="26"/>
              </w:rPr>
              <w:t xml:space="preserve">Sau khi Luật Đất </w:t>
            </w:r>
            <w:r>
              <w:rPr>
                <w:bCs/>
                <w:iCs/>
                <w:sz w:val="26"/>
                <w:szCs w:val="26"/>
              </w:rPr>
              <w:lastRenderedPageBreak/>
              <w:t>đai (sửa đổi) được ban hành; hoàn thành trước   ngày 01/3/2027</w:t>
            </w:r>
          </w:p>
        </w:tc>
        <w:tc>
          <w:tcPr>
            <w:tcW w:w="1904" w:type="dxa"/>
            <w:vAlign w:val="center"/>
          </w:tcPr>
          <w:p w:rsidR="0099481F" w:rsidRDefault="00FE232B">
            <w:pPr>
              <w:jc w:val="both"/>
              <w:rPr>
                <w:bCs/>
                <w:iCs/>
                <w:sz w:val="26"/>
                <w:szCs w:val="26"/>
              </w:rPr>
            </w:pPr>
            <w:r>
              <w:rPr>
                <w:bCs/>
                <w:iCs/>
                <w:sz w:val="26"/>
                <w:szCs w:val="26"/>
              </w:rPr>
              <w:lastRenderedPageBreak/>
              <w:t>Tiêu chí 2.</w:t>
            </w:r>
            <w:r>
              <w:rPr>
                <w:bCs/>
                <w:iCs/>
                <w:sz w:val="26"/>
                <w:szCs w:val="26"/>
              </w:rPr>
              <w:t xml:space="preserve">3 </w:t>
            </w:r>
          </w:p>
        </w:tc>
        <w:tc>
          <w:tcPr>
            <w:tcW w:w="1710" w:type="dxa"/>
            <w:vAlign w:val="center"/>
          </w:tcPr>
          <w:p w:rsidR="0099481F" w:rsidRDefault="00FE232B">
            <w:pPr>
              <w:jc w:val="both"/>
              <w:rPr>
                <w:bCs/>
                <w:iCs/>
                <w:sz w:val="26"/>
                <w:szCs w:val="26"/>
              </w:rPr>
            </w:pPr>
            <w:r>
              <w:rPr>
                <w:bCs/>
                <w:iCs/>
                <w:sz w:val="26"/>
                <w:szCs w:val="26"/>
              </w:rPr>
              <w:t xml:space="preserve">Theo Công văn số </w:t>
            </w:r>
            <w:r>
              <w:rPr>
                <w:bCs/>
                <w:iCs/>
                <w:sz w:val="26"/>
                <w:szCs w:val="26"/>
              </w:rPr>
              <w:lastRenderedPageBreak/>
              <w:t>8348/UBND-NNMT ngày 20/8/2026</w:t>
            </w:r>
          </w:p>
        </w:tc>
      </w:tr>
      <w:tr w:rsidR="0099481F">
        <w:tc>
          <w:tcPr>
            <w:tcW w:w="959" w:type="dxa"/>
            <w:vAlign w:val="center"/>
          </w:tcPr>
          <w:p w:rsidR="0099481F" w:rsidRDefault="00FE232B">
            <w:pPr>
              <w:jc w:val="center"/>
              <w:rPr>
                <w:bCs/>
                <w:iCs/>
                <w:sz w:val="26"/>
                <w:szCs w:val="26"/>
              </w:rPr>
            </w:pPr>
            <w:r>
              <w:rPr>
                <w:bCs/>
                <w:iCs/>
                <w:sz w:val="26"/>
                <w:szCs w:val="26"/>
              </w:rPr>
              <w:lastRenderedPageBreak/>
              <w:t>7.</w:t>
            </w:r>
          </w:p>
        </w:tc>
        <w:tc>
          <w:tcPr>
            <w:tcW w:w="1848" w:type="dxa"/>
            <w:vAlign w:val="center"/>
          </w:tcPr>
          <w:p w:rsidR="0099481F" w:rsidRDefault="00FE232B">
            <w:pPr>
              <w:jc w:val="both"/>
              <w:rPr>
                <w:bCs/>
                <w:iCs/>
                <w:sz w:val="26"/>
                <w:szCs w:val="26"/>
              </w:rPr>
            </w:pPr>
            <w:r>
              <w:rPr>
                <w:bCs/>
                <w:iCs/>
                <w:sz w:val="26"/>
                <w:szCs w:val="26"/>
              </w:rPr>
              <w:t xml:space="preserve">Quyết định số 35/2024/QĐ-UBND ngày 14/10/2024 của UBND tỉnh Quảng Ngãi Ban hành Quy định về hạn mức giao đất ở đất chưa sử dụng cho cá nhân để đưa vào sử dụng </w:t>
            </w:r>
            <w:r>
              <w:rPr>
                <w:bCs/>
                <w:iCs/>
                <w:sz w:val="26"/>
                <w:szCs w:val="26"/>
              </w:rPr>
              <w:lastRenderedPageBreak/>
              <w:t>theo quy hoạch kế hoạch sử dụng đất hạn mức</w:t>
            </w:r>
            <w:r>
              <w:rPr>
                <w:bCs/>
                <w:iCs/>
                <w:sz w:val="26"/>
                <w:szCs w:val="26"/>
              </w:rPr>
              <w:t xml:space="preserve"> công nhận đất ở hạn mức giao đất để công nhận quyền sử dụng đất cho hộ gia đình cá nhân đang sử dụng đất nông nghiệp do tự khai hoang hạn mức nhận chuyển quyền sử dụng đất nông nghiệp của cá nhân quy định các loại giấy tờ khác về quyền sử dụng đất có trướ</w:t>
            </w:r>
            <w:r>
              <w:rPr>
                <w:bCs/>
                <w:iCs/>
                <w:sz w:val="26"/>
                <w:szCs w:val="26"/>
              </w:rPr>
              <w:t>c ngày 15/10/1993 trên địa bàn tỉnh Quảng Ngãi</w:t>
            </w:r>
          </w:p>
        </w:tc>
        <w:tc>
          <w:tcPr>
            <w:tcW w:w="2121" w:type="dxa"/>
            <w:vAlign w:val="center"/>
          </w:tcPr>
          <w:p w:rsidR="0099481F" w:rsidRDefault="00FE232B">
            <w:pPr>
              <w:jc w:val="both"/>
              <w:rPr>
                <w:bCs/>
                <w:iCs/>
                <w:sz w:val="26"/>
                <w:szCs w:val="26"/>
              </w:rPr>
            </w:pPr>
            <w:r>
              <w:rPr>
                <w:bCs/>
                <w:iCs/>
                <w:sz w:val="26"/>
                <w:szCs w:val="26"/>
              </w:rPr>
              <w:lastRenderedPageBreak/>
              <w:t xml:space="preserve">Căn cứ Luật Đất đai năm 2024; Luật sửa đổi, bổ sung một số điều của Luật Đất đai số 31/2024/QH15, Luật Nhà ở số 27/2023/QH15, Luật Kinh doanh bất động sản số 29/2023/QH15 và Luật Các tổ chức </w:t>
            </w:r>
            <w:r>
              <w:rPr>
                <w:bCs/>
                <w:iCs/>
                <w:sz w:val="26"/>
                <w:szCs w:val="26"/>
              </w:rPr>
              <w:lastRenderedPageBreak/>
              <w:t xml:space="preserve">tín dụng số </w:t>
            </w:r>
            <w:r>
              <w:rPr>
                <w:bCs/>
                <w:iCs/>
                <w:sz w:val="26"/>
                <w:szCs w:val="26"/>
              </w:rPr>
              <w:t>32/2024/QH15; các Nghị định của Chính phủ: số 101/2024/NĐ-CP ngày 29/7/2024; số 102/2024/NĐ-CP ngày 30/7/2024; số 151/2025/NĐ-CP ngày 12/6/2025 của Chính phủ quy định về phân định thẩm quyền của chính quyền địa phương 02 cấp, phân quyền, phân cấp trong lĩn</w:t>
            </w:r>
            <w:r>
              <w:rPr>
                <w:bCs/>
                <w:iCs/>
                <w:sz w:val="26"/>
                <w:szCs w:val="26"/>
              </w:rPr>
              <w:t>h vực đất đai;</w:t>
            </w:r>
          </w:p>
        </w:tc>
        <w:tc>
          <w:tcPr>
            <w:tcW w:w="4003" w:type="dxa"/>
            <w:vAlign w:val="center"/>
          </w:tcPr>
          <w:p w:rsidR="0099481F" w:rsidRDefault="00FE232B">
            <w:pPr>
              <w:jc w:val="both"/>
              <w:rPr>
                <w:bCs/>
                <w:iCs/>
                <w:sz w:val="26"/>
                <w:szCs w:val="26"/>
              </w:rPr>
            </w:pPr>
            <w:r>
              <w:rPr>
                <w:bCs/>
                <w:iCs/>
                <w:sz w:val="26"/>
                <w:szCs w:val="26"/>
              </w:rPr>
              <w:lastRenderedPageBreak/>
              <w:t>Nội dung quy định hiện nay không còn phù hợp với thực tiễn và mô hình chính quyền địa phương hai cấp; bổ sung 03 nội dung mà Nghị quyết 254/2025/QH15 giao UBND tỉnh quy định</w:t>
            </w:r>
          </w:p>
        </w:tc>
        <w:tc>
          <w:tcPr>
            <w:tcW w:w="1417" w:type="dxa"/>
            <w:vAlign w:val="center"/>
          </w:tcPr>
          <w:p w:rsidR="0099481F" w:rsidRDefault="00FE232B">
            <w:pPr>
              <w:jc w:val="both"/>
              <w:rPr>
                <w:bCs/>
                <w:iCs/>
                <w:sz w:val="26"/>
                <w:szCs w:val="26"/>
              </w:rPr>
            </w:pPr>
            <w:r>
              <w:rPr>
                <w:bCs/>
                <w:iCs/>
                <w:sz w:val="26"/>
                <w:szCs w:val="26"/>
              </w:rPr>
              <w:t>Thay thế</w:t>
            </w:r>
          </w:p>
        </w:tc>
        <w:tc>
          <w:tcPr>
            <w:tcW w:w="1275" w:type="dxa"/>
            <w:vAlign w:val="center"/>
          </w:tcPr>
          <w:p w:rsidR="0099481F" w:rsidRDefault="00FE232B">
            <w:pPr>
              <w:jc w:val="both"/>
              <w:rPr>
                <w:bCs/>
                <w:iCs/>
                <w:sz w:val="26"/>
                <w:szCs w:val="26"/>
              </w:rPr>
            </w:pPr>
            <w:r>
              <w:rPr>
                <w:bCs/>
                <w:iCs/>
                <w:sz w:val="26"/>
                <w:szCs w:val="26"/>
              </w:rPr>
              <w:t>Sau khi Luật Đất đai (sửa đổi) được ban hành; hoàn thành t</w:t>
            </w:r>
            <w:r>
              <w:rPr>
                <w:bCs/>
                <w:iCs/>
                <w:sz w:val="26"/>
                <w:szCs w:val="26"/>
              </w:rPr>
              <w:t>rước   ngày 01/3/2027</w:t>
            </w:r>
          </w:p>
        </w:tc>
        <w:tc>
          <w:tcPr>
            <w:tcW w:w="1904" w:type="dxa"/>
            <w:vAlign w:val="center"/>
          </w:tcPr>
          <w:p w:rsidR="0099481F" w:rsidRDefault="00FE232B">
            <w:pPr>
              <w:jc w:val="both"/>
              <w:rPr>
                <w:bCs/>
                <w:iCs/>
                <w:sz w:val="26"/>
                <w:szCs w:val="26"/>
              </w:rPr>
            </w:pPr>
            <w:r>
              <w:rPr>
                <w:bCs/>
                <w:iCs/>
                <w:sz w:val="26"/>
                <w:szCs w:val="26"/>
              </w:rPr>
              <w:t xml:space="preserve">Tiêu chí 2.3 </w:t>
            </w:r>
          </w:p>
        </w:tc>
        <w:tc>
          <w:tcPr>
            <w:tcW w:w="1710" w:type="dxa"/>
            <w:vAlign w:val="center"/>
          </w:tcPr>
          <w:p w:rsidR="0099481F" w:rsidRDefault="00FE232B">
            <w:pPr>
              <w:jc w:val="both"/>
              <w:rPr>
                <w:bCs/>
                <w:iCs/>
                <w:sz w:val="26"/>
                <w:szCs w:val="26"/>
              </w:rPr>
            </w:pPr>
            <w:r>
              <w:rPr>
                <w:bCs/>
                <w:iCs/>
                <w:sz w:val="26"/>
                <w:szCs w:val="26"/>
              </w:rPr>
              <w:t>Theo Thông báo số 899/TB-UBND ngày 24/8/2026</w:t>
            </w:r>
          </w:p>
        </w:tc>
      </w:tr>
      <w:tr w:rsidR="0099481F">
        <w:tc>
          <w:tcPr>
            <w:tcW w:w="959" w:type="dxa"/>
            <w:vAlign w:val="center"/>
          </w:tcPr>
          <w:p w:rsidR="0099481F" w:rsidRDefault="00FE232B">
            <w:pPr>
              <w:jc w:val="center"/>
              <w:rPr>
                <w:bCs/>
                <w:iCs/>
                <w:sz w:val="26"/>
                <w:szCs w:val="26"/>
              </w:rPr>
            </w:pPr>
            <w:r>
              <w:rPr>
                <w:bCs/>
                <w:iCs/>
                <w:sz w:val="26"/>
                <w:szCs w:val="26"/>
              </w:rPr>
              <w:lastRenderedPageBreak/>
              <w:t>8.</w:t>
            </w:r>
          </w:p>
        </w:tc>
        <w:tc>
          <w:tcPr>
            <w:tcW w:w="1848" w:type="dxa"/>
            <w:vAlign w:val="center"/>
          </w:tcPr>
          <w:p w:rsidR="0099481F" w:rsidRDefault="00FE232B">
            <w:pPr>
              <w:jc w:val="both"/>
              <w:rPr>
                <w:bCs/>
                <w:iCs/>
                <w:sz w:val="26"/>
                <w:szCs w:val="26"/>
              </w:rPr>
            </w:pPr>
            <w:r>
              <w:rPr>
                <w:bCs/>
                <w:iCs/>
                <w:sz w:val="26"/>
                <w:szCs w:val="26"/>
              </w:rPr>
              <w:t xml:space="preserve">Quyết định số 60/2024/QĐ-UBND ngày 30/10/2024 của </w:t>
            </w:r>
            <w:r>
              <w:rPr>
                <w:bCs/>
                <w:iCs/>
                <w:sz w:val="26"/>
                <w:szCs w:val="26"/>
              </w:rPr>
              <w:lastRenderedPageBreak/>
              <w:t xml:space="preserve">UBND tỉnh Kon Tum Quy định Giấy tờ khác về quyền sử dụng đất có trước ngày 15 tháng 10 năm 1993 trên địa bàn tỉnh Kon </w:t>
            </w:r>
            <w:r>
              <w:rPr>
                <w:bCs/>
                <w:iCs/>
                <w:sz w:val="26"/>
                <w:szCs w:val="26"/>
              </w:rPr>
              <w:t>Tum.</w:t>
            </w:r>
          </w:p>
        </w:tc>
        <w:tc>
          <w:tcPr>
            <w:tcW w:w="2121" w:type="dxa"/>
            <w:vAlign w:val="center"/>
          </w:tcPr>
          <w:p w:rsidR="0099481F" w:rsidRDefault="00FE232B">
            <w:pPr>
              <w:jc w:val="both"/>
              <w:rPr>
                <w:bCs/>
                <w:iCs/>
                <w:sz w:val="26"/>
                <w:szCs w:val="26"/>
              </w:rPr>
            </w:pPr>
            <w:r>
              <w:rPr>
                <w:bCs/>
                <w:iCs/>
                <w:sz w:val="26"/>
                <w:szCs w:val="26"/>
              </w:rPr>
              <w:lastRenderedPageBreak/>
              <w:t xml:space="preserve">Căn cứ Luật Đất đai năm 2024; Luật sửa đổi, bổ sung một số điều </w:t>
            </w:r>
            <w:r>
              <w:rPr>
                <w:bCs/>
                <w:iCs/>
                <w:sz w:val="26"/>
                <w:szCs w:val="26"/>
              </w:rPr>
              <w:lastRenderedPageBreak/>
              <w:t>của Luật Đất đai số 31/2024/QH15, Luật Nhà ở số 27/2023/QH15, Luật Kinh doanh bất động sản số 29/2023/QH15 và Luật Các tổ chức tín dụng số 32/2024/QH15; các Nghị định của Chính phủ: số 10</w:t>
            </w:r>
            <w:r>
              <w:rPr>
                <w:bCs/>
                <w:iCs/>
                <w:sz w:val="26"/>
                <w:szCs w:val="26"/>
              </w:rPr>
              <w:t>1/2024/NĐ-CP ngày 29/7/2024; số 102/2024/NĐ-CP ngày 30/7/2024; số 151/2025/NĐ-CP ngày 12/6/2025 của Chính phủ quy định về phân định thẩm quyền của chính quyền địa phương 02 cấp, phân quyền, phân cấp trong lĩnh vực đất đai;</w:t>
            </w:r>
          </w:p>
        </w:tc>
        <w:tc>
          <w:tcPr>
            <w:tcW w:w="4003" w:type="dxa"/>
            <w:vAlign w:val="center"/>
          </w:tcPr>
          <w:p w:rsidR="0099481F" w:rsidRDefault="00FE232B">
            <w:pPr>
              <w:jc w:val="both"/>
              <w:rPr>
                <w:bCs/>
                <w:iCs/>
                <w:sz w:val="26"/>
                <w:szCs w:val="26"/>
              </w:rPr>
            </w:pPr>
            <w:r>
              <w:rPr>
                <w:bCs/>
                <w:iCs/>
                <w:sz w:val="26"/>
                <w:szCs w:val="26"/>
              </w:rPr>
              <w:lastRenderedPageBreak/>
              <w:t xml:space="preserve">Nội dung quy định hiện nay không </w:t>
            </w:r>
            <w:r>
              <w:rPr>
                <w:bCs/>
                <w:iCs/>
                <w:sz w:val="26"/>
                <w:szCs w:val="26"/>
              </w:rPr>
              <w:t xml:space="preserve">còn phù hợp với thực tiễn và mô hình chính quyền địa phương hai cấp; bổ sung 03 nội dung mà Nghị </w:t>
            </w:r>
            <w:r>
              <w:rPr>
                <w:bCs/>
                <w:iCs/>
                <w:sz w:val="26"/>
                <w:szCs w:val="26"/>
              </w:rPr>
              <w:lastRenderedPageBreak/>
              <w:t>quyết số 254/2025/QH15 giao UBND tỉnh quy định</w:t>
            </w:r>
          </w:p>
        </w:tc>
        <w:tc>
          <w:tcPr>
            <w:tcW w:w="1417" w:type="dxa"/>
            <w:vAlign w:val="center"/>
          </w:tcPr>
          <w:p w:rsidR="0099481F" w:rsidRDefault="00FE232B">
            <w:pPr>
              <w:jc w:val="both"/>
              <w:rPr>
                <w:bCs/>
                <w:iCs/>
                <w:sz w:val="26"/>
                <w:szCs w:val="26"/>
              </w:rPr>
            </w:pPr>
            <w:r>
              <w:rPr>
                <w:bCs/>
                <w:iCs/>
                <w:sz w:val="26"/>
                <w:szCs w:val="26"/>
              </w:rPr>
              <w:lastRenderedPageBreak/>
              <w:t>Thay thế</w:t>
            </w:r>
          </w:p>
        </w:tc>
        <w:tc>
          <w:tcPr>
            <w:tcW w:w="1275" w:type="dxa"/>
            <w:vAlign w:val="center"/>
          </w:tcPr>
          <w:p w:rsidR="0099481F" w:rsidRDefault="00FE232B">
            <w:pPr>
              <w:jc w:val="both"/>
              <w:rPr>
                <w:bCs/>
                <w:iCs/>
                <w:sz w:val="26"/>
                <w:szCs w:val="26"/>
              </w:rPr>
            </w:pPr>
            <w:r>
              <w:rPr>
                <w:bCs/>
                <w:iCs/>
                <w:sz w:val="26"/>
                <w:szCs w:val="26"/>
              </w:rPr>
              <w:t xml:space="preserve">Sau khi Luật Đất đai (sửa đổi) được </w:t>
            </w:r>
            <w:r>
              <w:rPr>
                <w:bCs/>
                <w:iCs/>
                <w:sz w:val="26"/>
                <w:szCs w:val="26"/>
              </w:rPr>
              <w:lastRenderedPageBreak/>
              <w:t>ban hành; hoàn thành trước ngày 01/3/2027</w:t>
            </w:r>
          </w:p>
        </w:tc>
        <w:tc>
          <w:tcPr>
            <w:tcW w:w="1904" w:type="dxa"/>
            <w:vAlign w:val="center"/>
          </w:tcPr>
          <w:p w:rsidR="0099481F" w:rsidRDefault="00FE232B">
            <w:pPr>
              <w:jc w:val="both"/>
              <w:rPr>
                <w:bCs/>
                <w:iCs/>
                <w:sz w:val="26"/>
                <w:szCs w:val="26"/>
              </w:rPr>
            </w:pPr>
            <w:r>
              <w:rPr>
                <w:bCs/>
                <w:iCs/>
                <w:sz w:val="26"/>
                <w:szCs w:val="26"/>
              </w:rPr>
              <w:lastRenderedPageBreak/>
              <w:t xml:space="preserve">Tiêu chí 2.3 </w:t>
            </w:r>
          </w:p>
        </w:tc>
        <w:tc>
          <w:tcPr>
            <w:tcW w:w="1710" w:type="dxa"/>
            <w:vAlign w:val="center"/>
          </w:tcPr>
          <w:p w:rsidR="0099481F" w:rsidRDefault="00FE232B">
            <w:pPr>
              <w:jc w:val="both"/>
              <w:rPr>
                <w:bCs/>
                <w:iCs/>
                <w:sz w:val="26"/>
                <w:szCs w:val="26"/>
              </w:rPr>
            </w:pPr>
            <w:r>
              <w:rPr>
                <w:bCs/>
                <w:iCs/>
                <w:sz w:val="26"/>
                <w:szCs w:val="26"/>
              </w:rPr>
              <w:t xml:space="preserve">Theo Thông </w:t>
            </w:r>
            <w:r>
              <w:rPr>
                <w:bCs/>
                <w:iCs/>
                <w:sz w:val="26"/>
                <w:szCs w:val="26"/>
              </w:rPr>
              <w:t xml:space="preserve">báo số 899/TB-UBND ngày </w:t>
            </w:r>
            <w:r>
              <w:rPr>
                <w:bCs/>
                <w:iCs/>
                <w:sz w:val="26"/>
                <w:szCs w:val="26"/>
              </w:rPr>
              <w:lastRenderedPageBreak/>
              <w:t>24/8/2026</w:t>
            </w:r>
          </w:p>
        </w:tc>
      </w:tr>
      <w:tr w:rsidR="0099481F">
        <w:tc>
          <w:tcPr>
            <w:tcW w:w="959" w:type="dxa"/>
            <w:vAlign w:val="center"/>
          </w:tcPr>
          <w:p w:rsidR="0099481F" w:rsidRDefault="00FE232B">
            <w:pPr>
              <w:jc w:val="center"/>
              <w:rPr>
                <w:bCs/>
                <w:iCs/>
                <w:sz w:val="26"/>
                <w:szCs w:val="26"/>
              </w:rPr>
            </w:pPr>
            <w:r>
              <w:rPr>
                <w:bCs/>
                <w:iCs/>
                <w:sz w:val="26"/>
                <w:szCs w:val="26"/>
              </w:rPr>
              <w:lastRenderedPageBreak/>
              <w:t>9.</w:t>
            </w:r>
          </w:p>
        </w:tc>
        <w:tc>
          <w:tcPr>
            <w:tcW w:w="1848" w:type="dxa"/>
            <w:vAlign w:val="center"/>
          </w:tcPr>
          <w:p w:rsidR="0099481F" w:rsidRDefault="00FE232B">
            <w:pPr>
              <w:jc w:val="both"/>
              <w:rPr>
                <w:bCs/>
                <w:iCs/>
                <w:sz w:val="26"/>
                <w:szCs w:val="26"/>
              </w:rPr>
            </w:pPr>
            <w:r>
              <w:rPr>
                <w:bCs/>
                <w:iCs/>
                <w:sz w:val="26"/>
                <w:szCs w:val="26"/>
              </w:rPr>
              <w:t xml:space="preserve">Quyết định số 86/2024/QĐ-UBND ngày 31/12/2024 của </w:t>
            </w:r>
            <w:r>
              <w:rPr>
                <w:bCs/>
                <w:iCs/>
                <w:sz w:val="26"/>
                <w:szCs w:val="26"/>
              </w:rPr>
              <w:lastRenderedPageBreak/>
              <w:t>UBND tỉnh Kon Tum Sửa đổi, bổ sung Điều 12 của Quy định về bồi thường, hỗ trợ, tái định cư khi Nhà nước thu hồi đất trên địa bàn tỉnh Kon Tum (Ban hành kèm theo Quyết đ</w:t>
            </w:r>
            <w:r>
              <w:rPr>
                <w:bCs/>
                <w:iCs/>
                <w:sz w:val="26"/>
                <w:szCs w:val="26"/>
              </w:rPr>
              <w:t>ịnh số 48/2024/QĐ-UBND ngày 19/9/2024 của UBND tỉnh Kon Tum</w:t>
            </w:r>
          </w:p>
        </w:tc>
        <w:tc>
          <w:tcPr>
            <w:tcW w:w="2121" w:type="dxa"/>
            <w:vAlign w:val="center"/>
          </w:tcPr>
          <w:p w:rsidR="0099481F" w:rsidRDefault="00FE232B">
            <w:pPr>
              <w:jc w:val="both"/>
              <w:rPr>
                <w:bCs/>
                <w:iCs/>
                <w:sz w:val="26"/>
                <w:szCs w:val="26"/>
              </w:rPr>
            </w:pPr>
            <w:r>
              <w:rPr>
                <w:bCs/>
                <w:iCs/>
                <w:sz w:val="26"/>
                <w:szCs w:val="26"/>
              </w:rPr>
              <w:lastRenderedPageBreak/>
              <w:t xml:space="preserve">Quy định pháp luật có   liên quan và Luật ban hành văn bản QPPL số </w:t>
            </w:r>
            <w:r>
              <w:rPr>
                <w:bCs/>
                <w:iCs/>
                <w:sz w:val="26"/>
                <w:szCs w:val="26"/>
              </w:rPr>
              <w:lastRenderedPageBreak/>
              <w:t>64/2025/QH15 được sửa đổi, bổ sung tại Luật số 87/2025/QH15; Nghị quyết 254/2025/QH15 giao UBND tỉnh quy định</w:t>
            </w:r>
          </w:p>
        </w:tc>
        <w:tc>
          <w:tcPr>
            <w:tcW w:w="4003" w:type="dxa"/>
            <w:vAlign w:val="center"/>
          </w:tcPr>
          <w:p w:rsidR="0099481F" w:rsidRDefault="00FE232B">
            <w:pPr>
              <w:jc w:val="both"/>
              <w:rPr>
                <w:bCs/>
                <w:iCs/>
                <w:sz w:val="26"/>
                <w:szCs w:val="26"/>
              </w:rPr>
            </w:pPr>
            <w:r>
              <w:rPr>
                <w:bCs/>
                <w:iCs/>
                <w:sz w:val="26"/>
                <w:szCs w:val="26"/>
              </w:rPr>
              <w:lastRenderedPageBreak/>
              <w:t xml:space="preserve">Hiện nay không còn </w:t>
            </w:r>
            <w:r>
              <w:rPr>
                <w:bCs/>
                <w:iCs/>
                <w:sz w:val="26"/>
                <w:szCs w:val="26"/>
              </w:rPr>
              <w:t xml:space="preserve">phù hợp với thực tiễn và mô hình chính quyền địa phương hai cấp. Ban hành Quyết định của UBND tỉnh để áp </w:t>
            </w:r>
            <w:r>
              <w:rPr>
                <w:bCs/>
                <w:iCs/>
                <w:sz w:val="26"/>
                <w:szCs w:val="26"/>
              </w:rPr>
              <w:lastRenderedPageBreak/>
              <w:t>dụng thống nhất trên địa bàn toàn tỉnh.</w:t>
            </w:r>
          </w:p>
        </w:tc>
        <w:tc>
          <w:tcPr>
            <w:tcW w:w="1417" w:type="dxa"/>
            <w:vAlign w:val="center"/>
          </w:tcPr>
          <w:p w:rsidR="0099481F" w:rsidRDefault="00FE232B">
            <w:pPr>
              <w:jc w:val="both"/>
              <w:rPr>
                <w:bCs/>
                <w:iCs/>
                <w:sz w:val="26"/>
                <w:szCs w:val="26"/>
              </w:rPr>
            </w:pPr>
            <w:r>
              <w:rPr>
                <w:bCs/>
                <w:iCs/>
                <w:sz w:val="26"/>
                <w:szCs w:val="26"/>
              </w:rPr>
              <w:lastRenderedPageBreak/>
              <w:t>Thay thế</w:t>
            </w:r>
          </w:p>
        </w:tc>
        <w:tc>
          <w:tcPr>
            <w:tcW w:w="1275" w:type="dxa"/>
            <w:vAlign w:val="center"/>
          </w:tcPr>
          <w:p w:rsidR="0099481F" w:rsidRDefault="00FE232B">
            <w:pPr>
              <w:jc w:val="both"/>
              <w:rPr>
                <w:bCs/>
                <w:iCs/>
                <w:sz w:val="26"/>
                <w:szCs w:val="26"/>
              </w:rPr>
            </w:pPr>
            <w:r>
              <w:rPr>
                <w:bCs/>
                <w:iCs/>
                <w:sz w:val="26"/>
                <w:szCs w:val="26"/>
              </w:rPr>
              <w:t xml:space="preserve">Sau  khi Luật Đất đai (sửa đổi) được </w:t>
            </w:r>
            <w:r>
              <w:rPr>
                <w:bCs/>
                <w:iCs/>
                <w:sz w:val="26"/>
                <w:szCs w:val="26"/>
              </w:rPr>
              <w:lastRenderedPageBreak/>
              <w:t>ban hành; hoàn thành trước ngày 01/3/2027</w:t>
            </w:r>
          </w:p>
        </w:tc>
        <w:tc>
          <w:tcPr>
            <w:tcW w:w="1904" w:type="dxa"/>
            <w:vAlign w:val="center"/>
          </w:tcPr>
          <w:p w:rsidR="0099481F" w:rsidRDefault="00FE232B">
            <w:pPr>
              <w:jc w:val="both"/>
              <w:rPr>
                <w:bCs/>
                <w:iCs/>
                <w:sz w:val="26"/>
                <w:szCs w:val="26"/>
              </w:rPr>
            </w:pPr>
            <w:r>
              <w:rPr>
                <w:bCs/>
                <w:iCs/>
                <w:sz w:val="26"/>
                <w:szCs w:val="26"/>
              </w:rPr>
              <w:lastRenderedPageBreak/>
              <w:t xml:space="preserve">Tiêu chí 2.3 </w:t>
            </w:r>
          </w:p>
        </w:tc>
        <w:tc>
          <w:tcPr>
            <w:tcW w:w="1710" w:type="dxa"/>
            <w:vAlign w:val="center"/>
          </w:tcPr>
          <w:p w:rsidR="0099481F" w:rsidRDefault="00FE232B">
            <w:pPr>
              <w:jc w:val="both"/>
              <w:rPr>
                <w:bCs/>
                <w:iCs/>
                <w:sz w:val="26"/>
                <w:szCs w:val="26"/>
              </w:rPr>
            </w:pPr>
            <w:r>
              <w:rPr>
                <w:bCs/>
                <w:iCs/>
                <w:sz w:val="26"/>
                <w:szCs w:val="26"/>
              </w:rPr>
              <w:t>Theo Thôn</w:t>
            </w:r>
            <w:r>
              <w:rPr>
                <w:bCs/>
                <w:iCs/>
                <w:sz w:val="26"/>
                <w:szCs w:val="26"/>
              </w:rPr>
              <w:t xml:space="preserve">g báo số 554/TB-UBND ngày </w:t>
            </w:r>
            <w:r>
              <w:rPr>
                <w:bCs/>
                <w:iCs/>
                <w:sz w:val="26"/>
                <w:szCs w:val="26"/>
              </w:rPr>
              <w:lastRenderedPageBreak/>
              <w:t>08/6/2026</w:t>
            </w:r>
          </w:p>
        </w:tc>
      </w:tr>
      <w:tr w:rsidR="0099481F">
        <w:tc>
          <w:tcPr>
            <w:tcW w:w="959" w:type="dxa"/>
            <w:vAlign w:val="center"/>
          </w:tcPr>
          <w:p w:rsidR="0099481F" w:rsidRDefault="00FE232B">
            <w:pPr>
              <w:jc w:val="center"/>
              <w:rPr>
                <w:bCs/>
                <w:iCs/>
                <w:sz w:val="26"/>
                <w:szCs w:val="26"/>
              </w:rPr>
            </w:pPr>
            <w:r>
              <w:rPr>
                <w:bCs/>
                <w:iCs/>
                <w:sz w:val="26"/>
                <w:szCs w:val="26"/>
              </w:rPr>
              <w:lastRenderedPageBreak/>
              <w:t>10.</w:t>
            </w:r>
          </w:p>
        </w:tc>
        <w:tc>
          <w:tcPr>
            <w:tcW w:w="1848" w:type="dxa"/>
            <w:vAlign w:val="center"/>
          </w:tcPr>
          <w:p w:rsidR="0099481F" w:rsidRDefault="00FE232B">
            <w:pPr>
              <w:jc w:val="both"/>
              <w:rPr>
                <w:bCs/>
                <w:iCs/>
                <w:sz w:val="26"/>
                <w:szCs w:val="26"/>
              </w:rPr>
            </w:pPr>
            <w:r>
              <w:rPr>
                <w:bCs/>
                <w:iCs/>
                <w:sz w:val="26"/>
                <w:szCs w:val="26"/>
              </w:rPr>
              <w:t>Quyết định số 87/2024/QĐ-UBND ngày 31/12/2024 của UBND tỉnh Kon Tum Ban hành đơn giá bồi thường thiệt hại đối với cây trồng, vật nuôi trên   địa bàn tỉnh Kon Tum.</w:t>
            </w:r>
          </w:p>
        </w:tc>
        <w:tc>
          <w:tcPr>
            <w:tcW w:w="2121" w:type="dxa"/>
            <w:vAlign w:val="center"/>
          </w:tcPr>
          <w:p w:rsidR="0099481F" w:rsidRDefault="00FE232B">
            <w:pPr>
              <w:jc w:val="both"/>
              <w:rPr>
                <w:bCs/>
                <w:iCs/>
                <w:sz w:val="26"/>
                <w:szCs w:val="26"/>
              </w:rPr>
            </w:pPr>
            <w:r>
              <w:rPr>
                <w:bCs/>
                <w:iCs/>
                <w:sz w:val="26"/>
                <w:szCs w:val="26"/>
              </w:rPr>
              <w:t xml:space="preserve">Luật ban hành văn bản   quy phạm pháp luật số </w:t>
            </w:r>
            <w:r>
              <w:rPr>
                <w:bCs/>
                <w:iCs/>
                <w:sz w:val="26"/>
                <w:szCs w:val="26"/>
              </w:rPr>
              <w:t xml:space="preserve">64/2025/QH15 ngày 19 tháng 02 năm 2025; Nghị định số 226/2025/NĐ-CP ngày 15 tháng 8 năm 2025 của Chính phủ sửa đổi, bổ sung một số điều của các Nghị định quy </w:t>
            </w:r>
            <w:r>
              <w:rPr>
                <w:bCs/>
                <w:iCs/>
                <w:sz w:val="26"/>
                <w:szCs w:val="26"/>
              </w:rPr>
              <w:lastRenderedPageBreak/>
              <w:t>định chi tiết thi hành Luật Đất đai</w:t>
            </w:r>
          </w:p>
        </w:tc>
        <w:tc>
          <w:tcPr>
            <w:tcW w:w="4003" w:type="dxa"/>
            <w:vAlign w:val="center"/>
          </w:tcPr>
          <w:p w:rsidR="0099481F" w:rsidRDefault="00FE232B">
            <w:pPr>
              <w:jc w:val="both"/>
              <w:rPr>
                <w:bCs/>
                <w:iCs/>
                <w:sz w:val="26"/>
                <w:szCs w:val="26"/>
              </w:rPr>
            </w:pPr>
            <w:r>
              <w:rPr>
                <w:bCs/>
                <w:iCs/>
                <w:sz w:val="26"/>
                <w:szCs w:val="26"/>
              </w:rPr>
              <w:lastRenderedPageBreak/>
              <w:t>Thực   hiện Nghị quyết số 202/2025/QH15 ngày 12/6/2025 của Quố</w:t>
            </w:r>
            <w:r>
              <w:rPr>
                <w:bCs/>
                <w:iCs/>
                <w:sz w:val="26"/>
                <w:szCs w:val="26"/>
              </w:rPr>
              <w:t>c hội, sau khi sắp xếp   lại đơn vị hành chính cấp tỉnh và tổ chức chính quyền địa phương theo mô hình   hai cấp (cấp tỉnh, cấp xã), trên địa bàn tỉnh Quảng Ngãi hiện đang cùng lúc   tồn tại 02 quyết định quy định về đơn giá bồi thường thiệt hại về cây trồ</w:t>
            </w:r>
            <w:r>
              <w:rPr>
                <w:bCs/>
                <w:iCs/>
                <w:sz w:val="26"/>
                <w:szCs w:val="26"/>
              </w:rPr>
              <w:t xml:space="preserve">ng,   vật nuôi khi Nhà nước thu hồi đất là không phù hợp, điều này gây khó khăn   trong quá trình áp dụng và ảnh hưởng đến tiến độ các dự án </w:t>
            </w:r>
            <w:r>
              <w:rPr>
                <w:bCs/>
                <w:iCs/>
                <w:sz w:val="26"/>
                <w:szCs w:val="26"/>
              </w:rPr>
              <w:lastRenderedPageBreak/>
              <w:t>đầu tư công, dự án   trọng điểm trên địa bàn tỉnh Quảng Ngãi.</w:t>
            </w:r>
          </w:p>
        </w:tc>
        <w:tc>
          <w:tcPr>
            <w:tcW w:w="1417" w:type="dxa"/>
            <w:vAlign w:val="center"/>
          </w:tcPr>
          <w:p w:rsidR="0099481F" w:rsidRDefault="00FE232B">
            <w:pPr>
              <w:jc w:val="both"/>
              <w:rPr>
                <w:bCs/>
                <w:iCs/>
                <w:sz w:val="26"/>
                <w:szCs w:val="26"/>
              </w:rPr>
            </w:pPr>
            <w:r>
              <w:rPr>
                <w:bCs/>
                <w:iCs/>
                <w:sz w:val="26"/>
                <w:szCs w:val="26"/>
              </w:rPr>
              <w:lastRenderedPageBreak/>
              <w:t>Thay thế</w:t>
            </w:r>
          </w:p>
        </w:tc>
        <w:tc>
          <w:tcPr>
            <w:tcW w:w="1275" w:type="dxa"/>
            <w:vAlign w:val="center"/>
          </w:tcPr>
          <w:p w:rsidR="0099481F" w:rsidRDefault="00FE232B">
            <w:pPr>
              <w:jc w:val="both"/>
              <w:rPr>
                <w:bCs/>
                <w:iCs/>
                <w:sz w:val="26"/>
                <w:szCs w:val="26"/>
              </w:rPr>
            </w:pPr>
            <w:r>
              <w:rPr>
                <w:bCs/>
                <w:iCs/>
                <w:sz w:val="26"/>
                <w:szCs w:val="26"/>
              </w:rPr>
              <w:t>Sau  khi Luật Đất đai (sửa đổi) được ban hàn</w:t>
            </w:r>
            <w:r>
              <w:rPr>
                <w:bCs/>
                <w:iCs/>
                <w:sz w:val="26"/>
                <w:szCs w:val="26"/>
              </w:rPr>
              <w:t>h; hoàn thành trước ngày 01/3/2027</w:t>
            </w:r>
          </w:p>
        </w:tc>
        <w:tc>
          <w:tcPr>
            <w:tcW w:w="1904" w:type="dxa"/>
            <w:vAlign w:val="center"/>
          </w:tcPr>
          <w:p w:rsidR="0099481F" w:rsidRDefault="00FE232B">
            <w:pPr>
              <w:jc w:val="both"/>
              <w:rPr>
                <w:bCs/>
                <w:iCs/>
                <w:sz w:val="26"/>
                <w:szCs w:val="26"/>
              </w:rPr>
            </w:pPr>
            <w:r>
              <w:rPr>
                <w:bCs/>
                <w:iCs/>
                <w:sz w:val="26"/>
                <w:szCs w:val="26"/>
              </w:rPr>
              <w:t xml:space="preserve">Tiêu chí 2.3 </w:t>
            </w:r>
          </w:p>
        </w:tc>
        <w:tc>
          <w:tcPr>
            <w:tcW w:w="1710" w:type="dxa"/>
            <w:vAlign w:val="center"/>
          </w:tcPr>
          <w:p w:rsidR="0099481F" w:rsidRDefault="00FE232B">
            <w:pPr>
              <w:jc w:val="both"/>
              <w:rPr>
                <w:bCs/>
                <w:iCs/>
                <w:sz w:val="26"/>
                <w:szCs w:val="26"/>
              </w:rPr>
            </w:pPr>
            <w:r>
              <w:rPr>
                <w:bCs/>
                <w:iCs/>
                <w:sz w:val="26"/>
                <w:szCs w:val="26"/>
              </w:rPr>
              <w:t>Theo Công văn số 8348/UBND-NNMT ngày 20/8/2026</w:t>
            </w:r>
          </w:p>
        </w:tc>
      </w:tr>
      <w:tr w:rsidR="0099481F">
        <w:tc>
          <w:tcPr>
            <w:tcW w:w="959" w:type="dxa"/>
            <w:vAlign w:val="center"/>
          </w:tcPr>
          <w:p w:rsidR="0099481F" w:rsidRDefault="00FE232B">
            <w:pPr>
              <w:jc w:val="center"/>
              <w:rPr>
                <w:bCs/>
                <w:iCs/>
                <w:sz w:val="26"/>
                <w:szCs w:val="26"/>
              </w:rPr>
            </w:pPr>
            <w:r>
              <w:rPr>
                <w:bCs/>
                <w:iCs/>
                <w:sz w:val="26"/>
                <w:szCs w:val="26"/>
              </w:rPr>
              <w:lastRenderedPageBreak/>
              <w:t>11.</w:t>
            </w:r>
          </w:p>
        </w:tc>
        <w:tc>
          <w:tcPr>
            <w:tcW w:w="1848" w:type="dxa"/>
            <w:vAlign w:val="center"/>
          </w:tcPr>
          <w:p w:rsidR="0099481F" w:rsidRDefault="00FE232B">
            <w:pPr>
              <w:jc w:val="both"/>
              <w:rPr>
                <w:bCs/>
                <w:iCs/>
                <w:sz w:val="26"/>
                <w:szCs w:val="26"/>
              </w:rPr>
            </w:pPr>
            <w:r>
              <w:rPr>
                <w:bCs/>
                <w:iCs/>
                <w:sz w:val="26"/>
                <w:szCs w:val="26"/>
              </w:rPr>
              <w:t xml:space="preserve">Quyết định số 20/2025/QĐ-UBND ngày 11/03/2025 của UBND  tỉnh Quảng Ngãi Sửa đổi bổ sung Quy định chi tiết một số nội dung về bồi thường hỗ trợ và tái định </w:t>
            </w:r>
            <w:r>
              <w:rPr>
                <w:bCs/>
                <w:iCs/>
                <w:sz w:val="26"/>
                <w:szCs w:val="26"/>
              </w:rPr>
              <w:t>cư khi Nhà nước thu hồi đất áp dụng trên địa bàn tỉnh Quảng Ngãi ban hành kèm theo Quyết định số 32/2024/QĐ-UBND ngày 14/10/2024 của Ủy ban nhân dân tỉnh Quảng Ngãi</w:t>
            </w:r>
          </w:p>
        </w:tc>
        <w:tc>
          <w:tcPr>
            <w:tcW w:w="2121" w:type="dxa"/>
            <w:vAlign w:val="center"/>
          </w:tcPr>
          <w:p w:rsidR="0099481F" w:rsidRDefault="00FE232B">
            <w:pPr>
              <w:jc w:val="both"/>
              <w:rPr>
                <w:bCs/>
                <w:iCs/>
                <w:sz w:val="26"/>
                <w:szCs w:val="26"/>
              </w:rPr>
            </w:pPr>
            <w:r>
              <w:rPr>
                <w:bCs/>
                <w:iCs/>
                <w:sz w:val="26"/>
                <w:szCs w:val="26"/>
              </w:rPr>
              <w:t xml:space="preserve">Quy định pháp luật có   liên quan và Luật ban hành văn bản QPPL số 64/2025/QH15 được sửa </w:t>
            </w:r>
            <w:r>
              <w:rPr>
                <w:bCs/>
                <w:iCs/>
                <w:sz w:val="26"/>
                <w:szCs w:val="26"/>
              </w:rPr>
              <w:t>đổi, bổ sung tại Luật số 87/2025/QH15; Nghị quyết 254/2025/QH15 giao UBND tỉnh quy định</w:t>
            </w:r>
          </w:p>
        </w:tc>
        <w:tc>
          <w:tcPr>
            <w:tcW w:w="4003" w:type="dxa"/>
            <w:vAlign w:val="center"/>
          </w:tcPr>
          <w:p w:rsidR="0099481F" w:rsidRDefault="00FE232B">
            <w:pPr>
              <w:jc w:val="both"/>
              <w:rPr>
                <w:bCs/>
                <w:iCs/>
                <w:sz w:val="26"/>
                <w:szCs w:val="26"/>
              </w:rPr>
            </w:pPr>
            <w:r>
              <w:rPr>
                <w:bCs/>
                <w:iCs/>
                <w:sz w:val="26"/>
                <w:szCs w:val="26"/>
              </w:rPr>
              <w:t>Hiện nay không còn phù hợp với thực tiễn và mô hình chính quyền địa phương hai cấp. Ban hành Quyết định của UBND tỉnh để áp dụng thống nhất trên địa bàn toàn tỉnh.</w:t>
            </w:r>
          </w:p>
        </w:tc>
        <w:tc>
          <w:tcPr>
            <w:tcW w:w="1417" w:type="dxa"/>
            <w:vAlign w:val="center"/>
          </w:tcPr>
          <w:p w:rsidR="0099481F" w:rsidRDefault="00FE232B">
            <w:pPr>
              <w:jc w:val="both"/>
              <w:rPr>
                <w:bCs/>
                <w:iCs/>
                <w:sz w:val="26"/>
                <w:szCs w:val="26"/>
              </w:rPr>
            </w:pPr>
            <w:r>
              <w:rPr>
                <w:bCs/>
                <w:iCs/>
                <w:sz w:val="26"/>
                <w:szCs w:val="26"/>
              </w:rPr>
              <w:t>Thay</w:t>
            </w:r>
            <w:r>
              <w:rPr>
                <w:bCs/>
                <w:iCs/>
                <w:sz w:val="26"/>
                <w:szCs w:val="26"/>
              </w:rPr>
              <w:t xml:space="preserve"> thế</w:t>
            </w:r>
          </w:p>
        </w:tc>
        <w:tc>
          <w:tcPr>
            <w:tcW w:w="1275" w:type="dxa"/>
            <w:vAlign w:val="center"/>
          </w:tcPr>
          <w:p w:rsidR="0099481F" w:rsidRDefault="00FE232B">
            <w:pPr>
              <w:jc w:val="both"/>
              <w:rPr>
                <w:bCs/>
                <w:iCs/>
                <w:sz w:val="26"/>
                <w:szCs w:val="26"/>
              </w:rPr>
            </w:pPr>
            <w:r>
              <w:rPr>
                <w:bCs/>
                <w:iCs/>
                <w:sz w:val="26"/>
                <w:szCs w:val="26"/>
              </w:rPr>
              <w:t>Sau   khi Luật Đất đai (sửa đổi) được ban hành; hoàn thành trước ngày 01/3/2027</w:t>
            </w:r>
          </w:p>
        </w:tc>
        <w:tc>
          <w:tcPr>
            <w:tcW w:w="1904" w:type="dxa"/>
            <w:vAlign w:val="center"/>
          </w:tcPr>
          <w:p w:rsidR="0099481F" w:rsidRDefault="00FE232B">
            <w:pPr>
              <w:jc w:val="both"/>
              <w:rPr>
                <w:bCs/>
                <w:iCs/>
                <w:sz w:val="26"/>
                <w:szCs w:val="26"/>
              </w:rPr>
            </w:pPr>
            <w:r>
              <w:rPr>
                <w:bCs/>
                <w:iCs/>
                <w:sz w:val="26"/>
                <w:szCs w:val="26"/>
              </w:rPr>
              <w:t xml:space="preserve">Tiêu chí 2.3 </w:t>
            </w:r>
          </w:p>
        </w:tc>
        <w:tc>
          <w:tcPr>
            <w:tcW w:w="1710" w:type="dxa"/>
            <w:vAlign w:val="center"/>
          </w:tcPr>
          <w:p w:rsidR="0099481F" w:rsidRDefault="00FE232B">
            <w:pPr>
              <w:jc w:val="both"/>
              <w:rPr>
                <w:bCs/>
                <w:iCs/>
                <w:sz w:val="26"/>
                <w:szCs w:val="26"/>
              </w:rPr>
            </w:pPr>
            <w:r>
              <w:rPr>
                <w:bCs/>
                <w:iCs/>
                <w:sz w:val="26"/>
                <w:szCs w:val="26"/>
              </w:rPr>
              <w:t>Theo Thông báo số 554/TB-UBND ngày 08/6/2026</w:t>
            </w:r>
          </w:p>
        </w:tc>
      </w:tr>
      <w:tr w:rsidR="0099481F">
        <w:tc>
          <w:tcPr>
            <w:tcW w:w="15237" w:type="dxa"/>
            <w:gridSpan w:val="8"/>
            <w:shd w:val="clear" w:color="auto" w:fill="F7CAAC" w:themeFill="accent2" w:themeFillTint="66"/>
            <w:vAlign w:val="center"/>
          </w:tcPr>
          <w:p w:rsidR="0099481F" w:rsidRDefault="00FE232B">
            <w:pPr>
              <w:spacing w:before="120" w:after="120"/>
              <w:jc w:val="center"/>
              <w:rPr>
                <w:bCs/>
                <w:iCs/>
                <w:sz w:val="26"/>
                <w:szCs w:val="26"/>
              </w:rPr>
            </w:pPr>
            <w:r>
              <w:rPr>
                <w:b/>
                <w:sz w:val="26"/>
                <w:szCs w:val="26"/>
              </w:rPr>
              <w:t>Tổng số: 11 văn bản</w:t>
            </w:r>
          </w:p>
        </w:tc>
      </w:tr>
    </w:tbl>
    <w:p w:rsidR="0099481F" w:rsidRDefault="0099481F">
      <w:pPr>
        <w:jc w:val="center"/>
        <w:rPr>
          <w:b/>
          <w:i/>
          <w:iCs/>
          <w:sz w:val="26"/>
          <w:szCs w:val="26"/>
        </w:rPr>
      </w:pPr>
    </w:p>
    <w:p w:rsidR="0099481F" w:rsidRDefault="00FE232B">
      <w:pPr>
        <w:shd w:val="clear" w:color="auto" w:fill="FFFFFF"/>
        <w:spacing w:before="120" w:after="120" w:line="360" w:lineRule="exact"/>
        <w:jc w:val="both"/>
        <w:rPr>
          <w:b/>
          <w:bCs/>
          <w:szCs w:val="28"/>
        </w:rPr>
      </w:pPr>
      <w:r>
        <w:rPr>
          <w:b/>
          <w:bCs/>
          <w:szCs w:val="28"/>
        </w:rPr>
        <w:t>CÁC THÔNG TIN ĐIỀN TRONG PHỤ LỤC:</w:t>
      </w:r>
    </w:p>
    <w:p w:rsidR="0099481F" w:rsidRDefault="00FE232B">
      <w:pPr>
        <w:shd w:val="clear" w:color="auto" w:fill="FFFFFF"/>
        <w:spacing w:before="120" w:after="120" w:line="360" w:lineRule="exact"/>
        <w:jc w:val="both"/>
        <w:rPr>
          <w:szCs w:val="28"/>
        </w:rPr>
      </w:pPr>
      <w:r>
        <w:rPr>
          <w:b/>
          <w:i/>
          <w:szCs w:val="28"/>
        </w:rPr>
        <w:lastRenderedPageBreak/>
        <w:t>- Cơ quan rà soát:</w:t>
      </w:r>
      <w:r>
        <w:rPr>
          <w:szCs w:val="28"/>
        </w:rPr>
        <w:t xml:space="preserve"> Điền tên</w:t>
      </w:r>
      <w:r>
        <w:rPr>
          <w:szCs w:val="28"/>
          <w:lang w:val="vi-VN"/>
        </w:rPr>
        <w:t xml:space="preserve"> của</w:t>
      </w:r>
      <w:r>
        <w:rPr>
          <w:szCs w:val="28"/>
        </w:rPr>
        <w:t xml:space="preserve"> cơ quan rà soát (Ví dụ: UBND thành phố Hà Nội, UBND tỉnh Quảng Ninh).</w:t>
      </w:r>
    </w:p>
    <w:p w:rsidR="0099481F" w:rsidRDefault="00FE232B">
      <w:pPr>
        <w:shd w:val="clear" w:color="auto" w:fill="FFFFFF"/>
        <w:spacing w:before="120" w:after="120" w:line="360" w:lineRule="exact"/>
        <w:jc w:val="both"/>
        <w:rPr>
          <w:szCs w:val="28"/>
        </w:rPr>
      </w:pPr>
      <w:r>
        <w:rPr>
          <w:b/>
          <w:bCs/>
          <w:i/>
          <w:iCs/>
          <w:szCs w:val="28"/>
        </w:rPr>
        <w:t>- Cột (2):</w:t>
      </w:r>
      <w:r>
        <w:rPr>
          <w:szCs w:val="28"/>
        </w:rPr>
        <w:t xml:space="preserve"> </w:t>
      </w:r>
    </w:p>
    <w:p w:rsidR="0099481F" w:rsidRDefault="00FE232B">
      <w:pPr>
        <w:shd w:val="clear" w:color="auto" w:fill="FFFFFF"/>
        <w:spacing w:before="120" w:after="120" w:line="360" w:lineRule="exact"/>
        <w:ind w:firstLine="567"/>
        <w:jc w:val="both"/>
        <w:rPr>
          <w:szCs w:val="28"/>
          <w:lang w:val="vi-VN"/>
        </w:rPr>
      </w:pPr>
      <w:proofErr w:type="gramStart"/>
      <w:r>
        <w:rPr>
          <w:szCs w:val="28"/>
        </w:rPr>
        <w:t>+ Điền tên văn bản được rà soát (</w:t>
      </w:r>
      <w:r>
        <w:rPr>
          <w:szCs w:val="28"/>
          <w:lang w:val="vi-VN"/>
        </w:rPr>
        <w:t xml:space="preserve">Ghi rõ </w:t>
      </w:r>
      <w:r>
        <w:rPr>
          <w:szCs w:val="28"/>
        </w:rPr>
        <w:t>tên loại; số, ký hiệu; ngày, tháng, năm ban hành; tên cơ quan ban hành; trích yếu văn bản)</w:t>
      </w:r>
      <w:r>
        <w:rPr>
          <w:szCs w:val="28"/>
          <w:lang w:val="vi-VN"/>
        </w:rPr>
        <w:t>.</w:t>
      </w:r>
      <w:proofErr w:type="gramEnd"/>
      <w:r>
        <w:rPr>
          <w:szCs w:val="28"/>
          <w:lang w:val="vi-VN"/>
        </w:rPr>
        <w:t xml:space="preserve"> Trường hợp văn bản được rà soát đã được s</w:t>
      </w:r>
      <w:r>
        <w:rPr>
          <w:szCs w:val="28"/>
          <w:lang w:val="vi-VN"/>
        </w:rPr>
        <w:t>ửa đổi, bổ sung, bãi bỏ một phần thì ngay sau trích yếu văn bản ghi: “(đã được sửa đổi, bổ sung)”.</w:t>
      </w:r>
    </w:p>
    <w:p w:rsidR="0099481F" w:rsidRDefault="00FE232B">
      <w:pPr>
        <w:shd w:val="clear" w:color="auto" w:fill="FFFFFF"/>
        <w:spacing w:before="120" w:after="120" w:line="360" w:lineRule="exact"/>
        <w:ind w:firstLine="567"/>
        <w:jc w:val="both"/>
        <w:rPr>
          <w:szCs w:val="28"/>
          <w:lang w:val="vi-VN"/>
        </w:rPr>
      </w:pPr>
      <w:r>
        <w:rPr>
          <w:szCs w:val="28"/>
          <w:lang w:val="vi-VN"/>
        </w:rPr>
        <w:t xml:space="preserve">Ví dụ: </w:t>
      </w:r>
      <w:r>
        <w:rPr>
          <w:szCs w:val="28"/>
          <w:shd w:val="clear" w:color="auto" w:fill="FFFFFF"/>
          <w:lang w:val="vi-VN"/>
        </w:rPr>
        <w:t>Quyết định số </w:t>
      </w:r>
      <w:hyperlink r:id="rId11" w:tgtFrame="_blank" w:history="1">
        <w:r>
          <w:rPr>
            <w:szCs w:val="28"/>
            <w:shd w:val="clear" w:color="auto" w:fill="FFFFFF"/>
            <w:lang w:val="vi-VN"/>
          </w:rPr>
          <w:t>33/2025/QĐ-UBND</w:t>
        </w:r>
      </w:hyperlink>
      <w:r>
        <w:rPr>
          <w:szCs w:val="28"/>
          <w:shd w:val="clear" w:color="auto" w:fill="FFFFFF"/>
          <w:lang w:val="vi-VN"/>
        </w:rPr>
        <w:t> ngày 21/4/2025 của UBND thành phố Hà Nội về việc ban hành khung giá dịch vụ quản lý vận hành nhà chung cư trên địa bàn thành phố Hà Nội</w:t>
      </w:r>
      <w:r>
        <w:rPr>
          <w:szCs w:val="28"/>
          <w:lang w:val="vi-VN"/>
        </w:rPr>
        <w:t xml:space="preserve"> (đã được sửa đổi, bổ sung).</w:t>
      </w:r>
    </w:p>
    <w:p w:rsidR="0099481F" w:rsidRDefault="00FE232B">
      <w:pPr>
        <w:shd w:val="clear" w:color="auto" w:fill="FFFFFF"/>
        <w:spacing w:before="120" w:after="120" w:line="360" w:lineRule="exact"/>
        <w:ind w:firstLine="567"/>
        <w:jc w:val="both"/>
        <w:rPr>
          <w:szCs w:val="28"/>
          <w:lang w:val="vi-VN"/>
        </w:rPr>
      </w:pPr>
      <w:r>
        <w:rPr>
          <w:szCs w:val="28"/>
          <w:lang w:val="vi-VN"/>
        </w:rPr>
        <w:t>+ Các VBQPPL trong cùng 01 lĩnh vực được sắp xếp theo tiêu chí:</w:t>
      </w:r>
      <w:r>
        <w:rPr>
          <w:szCs w:val="28"/>
          <w:lang w:val="vi-VN"/>
        </w:rPr>
        <w:t xml:space="preserve"> (i) </w:t>
      </w:r>
      <w:r>
        <w:rPr>
          <w:bCs/>
          <w:iCs/>
          <w:szCs w:val="28"/>
          <w:lang w:val="vi-VN"/>
        </w:rPr>
        <w:t xml:space="preserve">Văn bản có hiệu lực pháp lý cao hơn đến văn bản có hiệu lực pháp lý thấp hơn; (ii) </w:t>
      </w:r>
      <w:r>
        <w:rPr>
          <w:szCs w:val="28"/>
          <w:lang w:val="vi-VN"/>
        </w:rPr>
        <w:t>Thời gian ban hành văn bản (cùng hình thức văn bản) từ văn bản được ban hành trước đến văn bản được ban hành sau.</w:t>
      </w:r>
    </w:p>
    <w:p w:rsidR="0099481F" w:rsidRDefault="00FE232B">
      <w:pPr>
        <w:shd w:val="clear" w:color="auto" w:fill="FFFFFF"/>
        <w:spacing w:before="120" w:after="120" w:line="360" w:lineRule="exact"/>
        <w:jc w:val="both"/>
        <w:rPr>
          <w:szCs w:val="28"/>
          <w:lang w:val="vi-VN"/>
        </w:rPr>
      </w:pPr>
      <w:r>
        <w:rPr>
          <w:b/>
          <w:bCs/>
          <w:i/>
          <w:iCs/>
          <w:szCs w:val="28"/>
          <w:lang w:val="vi-VN"/>
        </w:rPr>
        <w:t>- Cột (3):</w:t>
      </w:r>
      <w:r>
        <w:rPr>
          <w:szCs w:val="28"/>
          <w:lang w:val="vi-VN"/>
        </w:rPr>
        <w:t xml:space="preserve"> Điền căn cứ rà soát cho từng nội dung, quy </w:t>
      </w:r>
      <w:r>
        <w:rPr>
          <w:szCs w:val="28"/>
          <w:lang w:val="vi-VN"/>
        </w:rPr>
        <w:t>định của văn bản cần phải xử lý. Căn cứ rà soát theo hướng dẫn tại Mục VI.3 Tài liệu hướng dẫn, trong đó, ghi rõ thông tin về tên văn bản, tài liệu là căn cứ rà soát (nếu có).</w:t>
      </w:r>
    </w:p>
    <w:p w:rsidR="0099481F" w:rsidRDefault="00FE232B">
      <w:pPr>
        <w:shd w:val="clear" w:color="auto" w:fill="FFFFFF"/>
        <w:spacing w:before="120" w:after="120" w:line="360" w:lineRule="exact"/>
        <w:jc w:val="both"/>
        <w:rPr>
          <w:b/>
          <w:bCs/>
          <w:i/>
          <w:iCs/>
          <w:szCs w:val="28"/>
          <w:lang w:val="vi-VN"/>
        </w:rPr>
      </w:pPr>
      <w:r>
        <w:rPr>
          <w:b/>
          <w:bCs/>
          <w:i/>
          <w:iCs/>
          <w:szCs w:val="28"/>
          <w:lang w:val="vi-VN"/>
        </w:rPr>
        <w:t xml:space="preserve">- Cột (4): </w:t>
      </w:r>
      <w:r>
        <w:rPr>
          <w:szCs w:val="28"/>
          <w:lang w:val="vi-VN"/>
        </w:rPr>
        <w:t>Điền nội dung phân tích các nội dung, quy định của văn bản cần phải x</w:t>
      </w:r>
      <w:r>
        <w:rPr>
          <w:szCs w:val="28"/>
          <w:lang w:val="vi-VN"/>
        </w:rPr>
        <w:t>ử lý sau khi đối chiếu với các căn cứ rà soát theo các tiêu chí rà soát (được hướng dẫn tại Mục VI.4 Tài liệu hướng dẫn). Mỗi nội dung, quy định của văn bản được rà soát được điền tại 01 dòng khác nhau.</w:t>
      </w:r>
    </w:p>
    <w:p w:rsidR="0099481F" w:rsidRDefault="00FE232B">
      <w:pPr>
        <w:shd w:val="clear" w:color="auto" w:fill="FFFFFF"/>
        <w:spacing w:before="120" w:after="120" w:line="360" w:lineRule="exact"/>
        <w:jc w:val="both"/>
        <w:rPr>
          <w:b/>
          <w:szCs w:val="28"/>
          <w:lang w:val="vi-VN"/>
        </w:rPr>
      </w:pPr>
      <w:r>
        <w:rPr>
          <w:b/>
          <w:bCs/>
          <w:i/>
          <w:iCs/>
          <w:szCs w:val="28"/>
          <w:lang w:val="vi-VN"/>
        </w:rPr>
        <w:t xml:space="preserve">- Cột (5): </w:t>
      </w:r>
      <w:r>
        <w:rPr>
          <w:szCs w:val="28"/>
          <w:lang w:val="vi-VN"/>
        </w:rPr>
        <w:t>Điền một trong các hình thức xử lý văn bản</w:t>
      </w:r>
      <w:r>
        <w:rPr>
          <w:b/>
          <w:szCs w:val="28"/>
          <w:lang w:val="vi-VN"/>
        </w:rPr>
        <w:t xml:space="preserve"> </w:t>
      </w:r>
      <w:r>
        <w:rPr>
          <w:szCs w:val="28"/>
          <w:lang w:val="vi-VN"/>
        </w:rPr>
        <w:t xml:space="preserve">được rà soát gồm: </w:t>
      </w:r>
      <w:r>
        <w:rPr>
          <w:b/>
          <w:szCs w:val="28"/>
          <w:lang w:val="vi-VN"/>
        </w:rPr>
        <w:t>bãi bỏ một phần; thay thế; sửa đổi, bổ sung.</w:t>
      </w:r>
    </w:p>
    <w:p w:rsidR="0099481F" w:rsidRDefault="00FE232B">
      <w:pPr>
        <w:shd w:val="clear" w:color="auto" w:fill="FFFFFF"/>
        <w:spacing w:before="120" w:after="120" w:line="360" w:lineRule="exact"/>
        <w:jc w:val="both"/>
        <w:rPr>
          <w:szCs w:val="28"/>
          <w:lang w:val="vi-VN"/>
        </w:rPr>
      </w:pPr>
      <w:r>
        <w:rPr>
          <w:b/>
          <w:bCs/>
          <w:i/>
          <w:iCs/>
          <w:szCs w:val="28"/>
          <w:lang w:val="vi-VN"/>
        </w:rPr>
        <w:t xml:space="preserve">- Cột (6): </w:t>
      </w:r>
      <w:r>
        <w:rPr>
          <w:szCs w:val="28"/>
          <w:lang w:val="vi-VN"/>
        </w:rPr>
        <w:t>Điền lộ trình xử lý.</w:t>
      </w:r>
    </w:p>
    <w:p w:rsidR="0099481F" w:rsidRDefault="00FE232B">
      <w:pPr>
        <w:shd w:val="clear" w:color="auto" w:fill="FFFFFF"/>
        <w:spacing w:before="120" w:after="120" w:line="360" w:lineRule="exact"/>
        <w:jc w:val="both"/>
        <w:rPr>
          <w:spacing w:val="-4"/>
          <w:szCs w:val="28"/>
          <w:lang w:val="nl-NL"/>
        </w:rPr>
      </w:pPr>
      <w:r>
        <w:rPr>
          <w:b/>
          <w:bCs/>
          <w:i/>
          <w:iCs/>
          <w:spacing w:val="-4"/>
          <w:szCs w:val="28"/>
          <w:lang w:val="vi-VN"/>
        </w:rPr>
        <w:t xml:space="preserve">- Cột (7): </w:t>
      </w:r>
      <w:r>
        <w:rPr>
          <w:spacing w:val="-4"/>
          <w:szCs w:val="28"/>
          <w:lang w:val="vi-VN"/>
        </w:rPr>
        <w:t xml:space="preserve">Điền tiêu chí rà soát tương ứng với từng nội dung, quy định của văn bản được rà soát cần phải xử lý. (Ví dụ: </w:t>
      </w:r>
      <w:r>
        <w:rPr>
          <w:spacing w:val="-4"/>
          <w:szCs w:val="28"/>
          <w:lang w:val="nl-NL"/>
        </w:rPr>
        <w:t>Tiêu chí 2).</w:t>
      </w:r>
    </w:p>
    <w:p w:rsidR="0099481F" w:rsidRDefault="00FE232B">
      <w:pPr>
        <w:spacing w:before="120" w:after="120" w:line="360" w:lineRule="exact"/>
        <w:ind w:firstLine="567"/>
        <w:jc w:val="both"/>
        <w:rPr>
          <w:lang w:val="nl-NL"/>
        </w:rPr>
      </w:pPr>
      <w:r>
        <w:rPr>
          <w:lang w:val="nl-NL"/>
        </w:rPr>
        <w:t xml:space="preserve">Trường hợp kết quả rà soát </w:t>
      </w:r>
      <w:r>
        <w:rPr>
          <w:lang w:val="nl-NL"/>
        </w:rPr>
        <w:t>một nội dung, quy định của VBQPPL đồng thời liên quan đến nhiều tiêu chí khác nhau thì ghi tất cả các tiêu chí (Ví dụ: Tiêu chí 2; Tiêu chí 4).</w:t>
      </w:r>
    </w:p>
    <w:p w:rsidR="0099481F" w:rsidRDefault="00FE232B">
      <w:pPr>
        <w:spacing w:before="120" w:after="120" w:line="360" w:lineRule="exact"/>
        <w:jc w:val="both"/>
        <w:rPr>
          <w:shd w:val="clear" w:color="auto" w:fill="FFFFFF"/>
          <w:lang w:val="nl-NL"/>
        </w:rPr>
      </w:pPr>
      <w:r>
        <w:rPr>
          <w:b/>
          <w:bCs/>
          <w:i/>
          <w:iCs/>
          <w:lang w:val="nl-NL"/>
        </w:rPr>
        <w:t>- Cột (8)</w:t>
      </w:r>
      <w:r>
        <w:rPr>
          <w:lang w:val="nl-NL"/>
        </w:rPr>
        <w:t xml:space="preserve">: Điền hình thức xử lý đối với nội dung, quy định của văn bản nếu cần </w:t>
      </w:r>
      <w:r>
        <w:rPr>
          <w:b/>
          <w:bCs/>
          <w:lang w:val="nl-NL"/>
        </w:rPr>
        <w:t xml:space="preserve">tạm ngưng hiệu lực một phần; </w:t>
      </w:r>
      <w:r>
        <w:rPr>
          <w:b/>
          <w:bCs/>
          <w:shd w:val="clear" w:color="auto" w:fill="FFFFFF"/>
          <w:lang w:val="nl-NL"/>
        </w:rPr>
        <w:t>hướn</w:t>
      </w:r>
      <w:r>
        <w:rPr>
          <w:b/>
          <w:bCs/>
          <w:shd w:val="clear" w:color="auto" w:fill="FFFFFF"/>
          <w:lang w:val="nl-NL"/>
        </w:rPr>
        <w:t>g dẫn áp dụng VBQPPL</w:t>
      </w:r>
      <w:r>
        <w:rPr>
          <w:shd w:val="clear" w:color="auto" w:fill="FFFFFF"/>
          <w:lang w:val="nl-NL"/>
        </w:rPr>
        <w:t>.</w:t>
      </w:r>
    </w:p>
    <w:p w:rsidR="0099481F" w:rsidRDefault="00FE232B">
      <w:pPr>
        <w:spacing w:before="120" w:after="120" w:line="360" w:lineRule="exact"/>
        <w:ind w:firstLine="567"/>
        <w:jc w:val="both"/>
        <w:rPr>
          <w:iCs/>
          <w:spacing w:val="-2"/>
          <w:szCs w:val="28"/>
          <w:shd w:val="clear" w:color="auto" w:fill="FFFFFF"/>
          <w:lang w:val="nl-NL"/>
        </w:rPr>
      </w:pPr>
      <w:r>
        <w:rPr>
          <w:shd w:val="clear" w:color="auto" w:fill="FFFFFF"/>
          <w:lang w:val="nl-NL"/>
        </w:rPr>
        <w:t xml:space="preserve">Ví dụ: Nếu “nội dung 1” của văn bản A cần tạm ngưng hiệu lực thì ghi “Tạm ngưng hiệu lực một phần”. </w:t>
      </w:r>
    </w:p>
    <w:p w:rsidR="0099481F" w:rsidRDefault="00FE232B">
      <w:pPr>
        <w:shd w:val="clear" w:color="auto" w:fill="FFFFFF"/>
        <w:spacing w:before="120" w:after="120" w:line="360" w:lineRule="exact"/>
        <w:jc w:val="both"/>
        <w:rPr>
          <w:szCs w:val="28"/>
          <w:lang w:val="nl-NL"/>
        </w:rPr>
      </w:pPr>
      <w:r>
        <w:rPr>
          <w:szCs w:val="28"/>
          <w:lang w:val="nl-NL"/>
        </w:rPr>
        <w:lastRenderedPageBreak/>
        <w:t xml:space="preserve">- </w:t>
      </w:r>
      <w:r>
        <w:rPr>
          <w:b/>
          <w:szCs w:val="28"/>
          <w:lang w:val="nl-NL"/>
        </w:rPr>
        <w:t>Lưu ý:</w:t>
      </w:r>
      <w:r>
        <w:rPr>
          <w:szCs w:val="28"/>
          <w:lang w:val="nl-NL"/>
        </w:rPr>
        <w:t xml:space="preserve"> </w:t>
      </w:r>
    </w:p>
    <w:p w:rsidR="0099481F" w:rsidRDefault="00FE232B">
      <w:pPr>
        <w:spacing w:before="120" w:after="120" w:line="360" w:lineRule="exact"/>
        <w:ind w:firstLine="567"/>
        <w:jc w:val="both"/>
        <w:rPr>
          <w:szCs w:val="28"/>
          <w:lang w:val="nl-NL"/>
        </w:rPr>
      </w:pPr>
      <w:r>
        <w:rPr>
          <w:szCs w:val="28"/>
          <w:lang w:val="nl-NL"/>
        </w:rPr>
        <w:t>+ 01 VBQPPL (gốc) chỉ xuất hiện 01 lần trong Danh mục (thuộc lĩnh vực của đơn vị có trách nhiệm chủ trì rà soát/tổng hợp kế</w:t>
      </w:r>
      <w:r>
        <w:rPr>
          <w:szCs w:val="28"/>
          <w:lang w:val="nl-NL"/>
        </w:rPr>
        <w:t>t quả rà soát).</w:t>
      </w:r>
    </w:p>
    <w:p w:rsidR="0099481F" w:rsidRDefault="00FE232B">
      <w:pPr>
        <w:spacing w:before="120" w:after="120" w:line="360" w:lineRule="exact"/>
        <w:ind w:firstLine="567"/>
        <w:jc w:val="both"/>
        <w:rPr>
          <w:bCs/>
          <w:szCs w:val="28"/>
          <w:lang w:val="nl-NL"/>
        </w:rPr>
      </w:pPr>
      <w:r>
        <w:rPr>
          <w:szCs w:val="28"/>
          <w:lang w:val="nl-NL"/>
        </w:rPr>
        <w:t xml:space="preserve">+ Tổng số văn bản đề xuất xử lý: Tính theo số văn bản được rà soát tại cột (2). </w:t>
      </w:r>
      <w:r>
        <w:rPr>
          <w:bCs/>
          <w:szCs w:val="28"/>
          <w:lang w:val="nl-NL"/>
        </w:rPr>
        <w:t>Không tính số liệu văn bản sửa đổi, bổ sung.</w:t>
      </w:r>
    </w:p>
    <w:p w:rsidR="0099481F" w:rsidRDefault="00FE232B">
      <w:pPr>
        <w:spacing w:before="120" w:after="120" w:line="360" w:lineRule="exact"/>
        <w:ind w:firstLine="567"/>
        <w:jc w:val="both"/>
        <w:rPr>
          <w:bCs/>
          <w:szCs w:val="28"/>
          <w:lang w:val="nl-NL"/>
        </w:rPr>
      </w:pPr>
      <w:r>
        <w:rPr>
          <w:bCs/>
          <w:szCs w:val="28"/>
          <w:lang w:val="nl-NL"/>
        </w:rPr>
        <w:t xml:space="preserve">+ </w:t>
      </w:r>
      <w:r>
        <w:rPr>
          <w:b/>
          <w:szCs w:val="28"/>
          <w:lang w:val="nl-NL"/>
        </w:rPr>
        <w:t>Không thực hiện</w:t>
      </w:r>
      <w:r>
        <w:rPr>
          <w:bCs/>
          <w:szCs w:val="28"/>
          <w:lang w:val="nl-NL"/>
        </w:rPr>
        <w:t xml:space="preserve"> rà soát đối với VBQPPL chỉ ban hành để bãi bỏ VBQPPL khác.</w:t>
      </w:r>
    </w:p>
    <w:p w:rsidR="0099481F" w:rsidRDefault="00FE232B">
      <w:pPr>
        <w:spacing w:before="120" w:after="120" w:line="360" w:lineRule="exact"/>
        <w:ind w:firstLine="567"/>
        <w:jc w:val="both"/>
        <w:rPr>
          <w:bCs/>
          <w:szCs w:val="28"/>
          <w:lang w:val="nl-NL"/>
        </w:rPr>
      </w:pPr>
      <w:bookmarkStart w:id="2" w:name="_Hlk225194178"/>
      <w:bookmarkStart w:id="3" w:name="_Hlk226971132"/>
      <w:r>
        <w:rPr>
          <w:bCs/>
          <w:szCs w:val="28"/>
          <w:lang w:val="nl-NL"/>
        </w:rPr>
        <w:t>+ Tên các lĩnh vực: Theo tên của cơ qu</w:t>
      </w:r>
      <w:r>
        <w:rPr>
          <w:bCs/>
          <w:szCs w:val="28"/>
          <w:lang w:val="nl-NL"/>
        </w:rPr>
        <w:t xml:space="preserve">an chuyên môn thuộc UBND cấp tỉnh (trừ VBQPPL do Văn phòng UBND rà soát) (Ví dụ: Lĩnh vực Tư pháp, Lĩnh vực Tài chính...). </w:t>
      </w:r>
    </w:p>
    <w:p w:rsidR="0099481F" w:rsidRDefault="00FE232B">
      <w:pPr>
        <w:spacing w:before="120" w:after="120" w:line="360" w:lineRule="exact"/>
        <w:ind w:firstLine="567"/>
        <w:jc w:val="both"/>
        <w:rPr>
          <w:bCs/>
          <w:sz w:val="26"/>
          <w:szCs w:val="26"/>
          <w:lang w:val="nl-NL"/>
        </w:rPr>
      </w:pPr>
      <w:r>
        <w:rPr>
          <w:bCs/>
          <w:szCs w:val="28"/>
          <w:lang w:val="nl-NL"/>
        </w:rPr>
        <w:t xml:space="preserve">+ Lĩnh vực khác: Gồm các VBQPPL do Văn phòng UBND và các cơ quan không phải các cơ quan chuyên môn thuộc UBND cấp tỉnh thực hiện rà </w:t>
      </w:r>
      <w:r>
        <w:rPr>
          <w:bCs/>
          <w:szCs w:val="28"/>
          <w:lang w:val="nl-NL"/>
        </w:rPr>
        <w:t>soát.</w:t>
      </w:r>
    </w:p>
    <w:p w:rsidR="0099481F" w:rsidRDefault="00FE232B">
      <w:pPr>
        <w:spacing w:before="120" w:after="120" w:line="360" w:lineRule="exact"/>
        <w:ind w:firstLine="567"/>
        <w:jc w:val="both"/>
        <w:rPr>
          <w:bCs/>
          <w:sz w:val="26"/>
          <w:szCs w:val="26"/>
          <w:lang w:val="nl-NL"/>
        </w:rPr>
      </w:pPr>
      <w:r>
        <w:rPr>
          <w:bCs/>
          <w:i/>
          <w:iCs/>
          <w:szCs w:val="28"/>
          <w:lang w:val="nl-NL"/>
        </w:rPr>
        <w:t>+</w:t>
      </w:r>
      <w:r>
        <w:rPr>
          <w:bCs/>
          <w:szCs w:val="28"/>
          <w:lang w:val="nl-NL"/>
        </w:rPr>
        <w:t xml:space="preserve"> Việc xử lý văn bản trong trường hợp nhiều đơn vị hành chính được nhập thành một đơn vị hành chính mới cùng cấp: cần lưu ý quy định tại điểm b khoản 2 Điều 54 Luật Ban hành VBQPPL số 64/2025/QH15, được sửa đổi, bổ sung bởi Luật số 87/2025/QH15. </w:t>
      </w:r>
      <w:bookmarkEnd w:id="2"/>
      <w:bookmarkEnd w:id="3"/>
    </w:p>
    <w:p w:rsidR="0099481F" w:rsidRDefault="0099481F">
      <w:pPr>
        <w:spacing w:before="120" w:after="120" w:line="360" w:lineRule="exact"/>
        <w:ind w:firstLine="567"/>
        <w:jc w:val="both"/>
        <w:rPr>
          <w:bCs/>
          <w:sz w:val="26"/>
          <w:szCs w:val="26"/>
        </w:rPr>
      </w:pPr>
    </w:p>
    <w:sectPr w:rsidR="0099481F">
      <w:headerReference w:type="default" r:id="rId12"/>
      <w:footerReference w:type="even" r:id="rId13"/>
      <w:footerReference w:type="default" r:id="rId14"/>
      <w:pgSz w:w="16840" w:h="11907" w:orient="landscape"/>
      <w:pgMar w:top="851" w:right="1134" w:bottom="851" w:left="1134"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232B" w:rsidRDefault="00FE232B">
      <w:r>
        <w:separator/>
      </w:r>
    </w:p>
  </w:endnote>
  <w:endnote w:type="continuationSeparator" w:id="0">
    <w:p w:rsidR="00FE232B" w:rsidRDefault="00FE2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游ゴシック Light">
    <w:panose1 w:val="00000000000000000000"/>
    <w:charset w:val="80"/>
    <w:family w:val="roman"/>
    <w:notTrueType/>
    <w:pitch w:val="default"/>
  </w:font>
  <w:font w:name="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481F" w:rsidRDefault="00FE232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9481F" w:rsidRDefault="0099481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481F" w:rsidRDefault="0099481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232B" w:rsidRDefault="00FE232B">
      <w:r>
        <w:separator/>
      </w:r>
    </w:p>
  </w:footnote>
  <w:footnote w:type="continuationSeparator" w:id="0">
    <w:p w:rsidR="00FE232B" w:rsidRDefault="00FE23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481F" w:rsidRDefault="00FE232B">
    <w:pPr>
      <w:pStyle w:val="Header"/>
      <w:jc w:val="center"/>
    </w:pPr>
    <w:r>
      <w:fldChar w:fldCharType="begin"/>
    </w:r>
    <w:r>
      <w:instrText xml:space="preserve"> PAGE   \* MERGEFORMAT </w:instrText>
    </w:r>
    <w:r>
      <w:fldChar w:fldCharType="separate"/>
    </w:r>
    <w:r w:rsidR="00B27C1C">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rawingGridHorizontalSpacing w:val="109"/>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63FF"/>
    <w:rsid w:val="00001826"/>
    <w:rsid w:val="00002DED"/>
    <w:rsid w:val="00003D5B"/>
    <w:rsid w:val="00007463"/>
    <w:rsid w:val="0000797C"/>
    <w:rsid w:val="00016AEF"/>
    <w:rsid w:val="000217E1"/>
    <w:rsid w:val="00022AF8"/>
    <w:rsid w:val="000243B7"/>
    <w:rsid w:val="00032670"/>
    <w:rsid w:val="0003769A"/>
    <w:rsid w:val="000412B8"/>
    <w:rsid w:val="00043E20"/>
    <w:rsid w:val="000737C8"/>
    <w:rsid w:val="00077BBD"/>
    <w:rsid w:val="00080C73"/>
    <w:rsid w:val="00082ACD"/>
    <w:rsid w:val="00082DD4"/>
    <w:rsid w:val="00090B40"/>
    <w:rsid w:val="000A6D98"/>
    <w:rsid w:val="000B7682"/>
    <w:rsid w:val="000D2DF9"/>
    <w:rsid w:val="000E10D4"/>
    <w:rsid w:val="000E49A2"/>
    <w:rsid w:val="000E5398"/>
    <w:rsid w:val="000E5654"/>
    <w:rsid w:val="000F2579"/>
    <w:rsid w:val="000F61BF"/>
    <w:rsid w:val="000F7090"/>
    <w:rsid w:val="001023B4"/>
    <w:rsid w:val="001056E9"/>
    <w:rsid w:val="00114B96"/>
    <w:rsid w:val="00117563"/>
    <w:rsid w:val="00126557"/>
    <w:rsid w:val="00126610"/>
    <w:rsid w:val="00134D21"/>
    <w:rsid w:val="0013765E"/>
    <w:rsid w:val="00140A26"/>
    <w:rsid w:val="00151BFE"/>
    <w:rsid w:val="001612E1"/>
    <w:rsid w:val="001624CD"/>
    <w:rsid w:val="001636F1"/>
    <w:rsid w:val="0017631B"/>
    <w:rsid w:val="00176A06"/>
    <w:rsid w:val="001847B2"/>
    <w:rsid w:val="00195487"/>
    <w:rsid w:val="001A3D99"/>
    <w:rsid w:val="001A7DF5"/>
    <w:rsid w:val="001B5890"/>
    <w:rsid w:val="001C4499"/>
    <w:rsid w:val="001D7ED8"/>
    <w:rsid w:val="001E5493"/>
    <w:rsid w:val="001E6476"/>
    <w:rsid w:val="001F1AF5"/>
    <w:rsid w:val="001F2B98"/>
    <w:rsid w:val="001F5AC7"/>
    <w:rsid w:val="001F76C9"/>
    <w:rsid w:val="001F77F6"/>
    <w:rsid w:val="00201846"/>
    <w:rsid w:val="00215B2B"/>
    <w:rsid w:val="00216D4F"/>
    <w:rsid w:val="00221B44"/>
    <w:rsid w:val="0022263A"/>
    <w:rsid w:val="0022414A"/>
    <w:rsid w:val="00230C01"/>
    <w:rsid w:val="00231756"/>
    <w:rsid w:val="002324C2"/>
    <w:rsid w:val="00234876"/>
    <w:rsid w:val="00236E4C"/>
    <w:rsid w:val="002471A1"/>
    <w:rsid w:val="0025053E"/>
    <w:rsid w:val="0025365D"/>
    <w:rsid w:val="00254FDC"/>
    <w:rsid w:val="00283F6D"/>
    <w:rsid w:val="00284977"/>
    <w:rsid w:val="0028539C"/>
    <w:rsid w:val="002875DF"/>
    <w:rsid w:val="00290A0C"/>
    <w:rsid w:val="002925C3"/>
    <w:rsid w:val="0029723C"/>
    <w:rsid w:val="002A3D7D"/>
    <w:rsid w:val="002A5526"/>
    <w:rsid w:val="002A782C"/>
    <w:rsid w:val="002B00C5"/>
    <w:rsid w:val="002B2E23"/>
    <w:rsid w:val="002B31C0"/>
    <w:rsid w:val="002C2B91"/>
    <w:rsid w:val="002C5E35"/>
    <w:rsid w:val="002D2B9D"/>
    <w:rsid w:val="002E21AE"/>
    <w:rsid w:val="002E5078"/>
    <w:rsid w:val="002E736F"/>
    <w:rsid w:val="002F03DE"/>
    <w:rsid w:val="002F049E"/>
    <w:rsid w:val="002F6712"/>
    <w:rsid w:val="00311765"/>
    <w:rsid w:val="003163FF"/>
    <w:rsid w:val="003233A5"/>
    <w:rsid w:val="003241A1"/>
    <w:rsid w:val="00326BBC"/>
    <w:rsid w:val="003318BF"/>
    <w:rsid w:val="00334B98"/>
    <w:rsid w:val="003378B5"/>
    <w:rsid w:val="00340EAF"/>
    <w:rsid w:val="00342AF0"/>
    <w:rsid w:val="0034467E"/>
    <w:rsid w:val="00345CD9"/>
    <w:rsid w:val="00350DFA"/>
    <w:rsid w:val="00350F98"/>
    <w:rsid w:val="00360AF0"/>
    <w:rsid w:val="0036350C"/>
    <w:rsid w:val="00365C98"/>
    <w:rsid w:val="003773CA"/>
    <w:rsid w:val="00380D82"/>
    <w:rsid w:val="00390B5A"/>
    <w:rsid w:val="00396563"/>
    <w:rsid w:val="00397BA0"/>
    <w:rsid w:val="003A04F3"/>
    <w:rsid w:val="003A1D44"/>
    <w:rsid w:val="003A2474"/>
    <w:rsid w:val="003A5406"/>
    <w:rsid w:val="003B5FE7"/>
    <w:rsid w:val="003B682C"/>
    <w:rsid w:val="003C1130"/>
    <w:rsid w:val="003C3CCF"/>
    <w:rsid w:val="003C6521"/>
    <w:rsid w:val="003E2FBC"/>
    <w:rsid w:val="003E7CF9"/>
    <w:rsid w:val="003F457E"/>
    <w:rsid w:val="003F5F13"/>
    <w:rsid w:val="0040121A"/>
    <w:rsid w:val="00402E64"/>
    <w:rsid w:val="00403ACA"/>
    <w:rsid w:val="00403DD2"/>
    <w:rsid w:val="00410DFF"/>
    <w:rsid w:val="00417371"/>
    <w:rsid w:val="00422305"/>
    <w:rsid w:val="00424B9A"/>
    <w:rsid w:val="00435C7E"/>
    <w:rsid w:val="00443FB8"/>
    <w:rsid w:val="00456162"/>
    <w:rsid w:val="0047106C"/>
    <w:rsid w:val="004749C7"/>
    <w:rsid w:val="00475B46"/>
    <w:rsid w:val="00481F8F"/>
    <w:rsid w:val="004978ED"/>
    <w:rsid w:val="004A181E"/>
    <w:rsid w:val="004A7225"/>
    <w:rsid w:val="004B00D7"/>
    <w:rsid w:val="004B3910"/>
    <w:rsid w:val="004C34F9"/>
    <w:rsid w:val="004E018F"/>
    <w:rsid w:val="004E15E0"/>
    <w:rsid w:val="004E518C"/>
    <w:rsid w:val="004E5541"/>
    <w:rsid w:val="004F56CA"/>
    <w:rsid w:val="004F59D0"/>
    <w:rsid w:val="00504FFF"/>
    <w:rsid w:val="00506CDB"/>
    <w:rsid w:val="0051413A"/>
    <w:rsid w:val="00515C2B"/>
    <w:rsid w:val="00521C7B"/>
    <w:rsid w:val="0052402C"/>
    <w:rsid w:val="0052462A"/>
    <w:rsid w:val="00530BAF"/>
    <w:rsid w:val="0054662A"/>
    <w:rsid w:val="00546EB1"/>
    <w:rsid w:val="00556455"/>
    <w:rsid w:val="00563E5A"/>
    <w:rsid w:val="005654CC"/>
    <w:rsid w:val="005675BA"/>
    <w:rsid w:val="00570576"/>
    <w:rsid w:val="00574042"/>
    <w:rsid w:val="005756D3"/>
    <w:rsid w:val="005958D8"/>
    <w:rsid w:val="00595A95"/>
    <w:rsid w:val="005A2B99"/>
    <w:rsid w:val="005A39A6"/>
    <w:rsid w:val="005A6DB1"/>
    <w:rsid w:val="005B6F4A"/>
    <w:rsid w:val="005C3232"/>
    <w:rsid w:val="005C49FA"/>
    <w:rsid w:val="005E0F65"/>
    <w:rsid w:val="005E4C8F"/>
    <w:rsid w:val="00603023"/>
    <w:rsid w:val="00607012"/>
    <w:rsid w:val="006234D1"/>
    <w:rsid w:val="006304A9"/>
    <w:rsid w:val="006400B3"/>
    <w:rsid w:val="00646BC9"/>
    <w:rsid w:val="00647F89"/>
    <w:rsid w:val="00652903"/>
    <w:rsid w:val="006664E8"/>
    <w:rsid w:val="00670DF1"/>
    <w:rsid w:val="00673A76"/>
    <w:rsid w:val="006858D9"/>
    <w:rsid w:val="006865C4"/>
    <w:rsid w:val="006868C2"/>
    <w:rsid w:val="00691F03"/>
    <w:rsid w:val="00694D35"/>
    <w:rsid w:val="006964DA"/>
    <w:rsid w:val="006A5CC2"/>
    <w:rsid w:val="006A7A69"/>
    <w:rsid w:val="006B09C3"/>
    <w:rsid w:val="006B29FA"/>
    <w:rsid w:val="006B4400"/>
    <w:rsid w:val="006B528A"/>
    <w:rsid w:val="006C69A5"/>
    <w:rsid w:val="006D2775"/>
    <w:rsid w:val="006D322D"/>
    <w:rsid w:val="006E1B2A"/>
    <w:rsid w:val="006E26C7"/>
    <w:rsid w:val="006E4D94"/>
    <w:rsid w:val="006F504A"/>
    <w:rsid w:val="00700295"/>
    <w:rsid w:val="00715B7B"/>
    <w:rsid w:val="007267E3"/>
    <w:rsid w:val="00727D62"/>
    <w:rsid w:val="00731BF6"/>
    <w:rsid w:val="00732BCD"/>
    <w:rsid w:val="00733C5C"/>
    <w:rsid w:val="00741EBC"/>
    <w:rsid w:val="00751A36"/>
    <w:rsid w:val="0075292C"/>
    <w:rsid w:val="00763733"/>
    <w:rsid w:val="00764A18"/>
    <w:rsid w:val="00765F32"/>
    <w:rsid w:val="00766EC0"/>
    <w:rsid w:val="00772601"/>
    <w:rsid w:val="00775E61"/>
    <w:rsid w:val="00784325"/>
    <w:rsid w:val="0079150D"/>
    <w:rsid w:val="00793FD5"/>
    <w:rsid w:val="00796487"/>
    <w:rsid w:val="00796EC8"/>
    <w:rsid w:val="00796FAE"/>
    <w:rsid w:val="007970CE"/>
    <w:rsid w:val="007978FA"/>
    <w:rsid w:val="007A42DD"/>
    <w:rsid w:val="007B5755"/>
    <w:rsid w:val="007B58CC"/>
    <w:rsid w:val="007C2AAF"/>
    <w:rsid w:val="007C578E"/>
    <w:rsid w:val="007C5D38"/>
    <w:rsid w:val="007D413C"/>
    <w:rsid w:val="007D5728"/>
    <w:rsid w:val="007E28E4"/>
    <w:rsid w:val="007E2DFB"/>
    <w:rsid w:val="007E433C"/>
    <w:rsid w:val="007E4A8F"/>
    <w:rsid w:val="007E7DFD"/>
    <w:rsid w:val="007F05A6"/>
    <w:rsid w:val="007F43E3"/>
    <w:rsid w:val="007F4ACA"/>
    <w:rsid w:val="008141DF"/>
    <w:rsid w:val="008155CF"/>
    <w:rsid w:val="0081791A"/>
    <w:rsid w:val="00822078"/>
    <w:rsid w:val="008305C3"/>
    <w:rsid w:val="008322C5"/>
    <w:rsid w:val="0083501F"/>
    <w:rsid w:val="008415FB"/>
    <w:rsid w:val="008443FC"/>
    <w:rsid w:val="00844819"/>
    <w:rsid w:val="00845B35"/>
    <w:rsid w:val="00845CC9"/>
    <w:rsid w:val="00846B3D"/>
    <w:rsid w:val="0085786E"/>
    <w:rsid w:val="008601BD"/>
    <w:rsid w:val="008650E1"/>
    <w:rsid w:val="00865F69"/>
    <w:rsid w:val="00867E28"/>
    <w:rsid w:val="00870B1A"/>
    <w:rsid w:val="00872C73"/>
    <w:rsid w:val="00873B5A"/>
    <w:rsid w:val="00874FDB"/>
    <w:rsid w:val="00876E6F"/>
    <w:rsid w:val="00876F78"/>
    <w:rsid w:val="00881A82"/>
    <w:rsid w:val="00885AC8"/>
    <w:rsid w:val="00887322"/>
    <w:rsid w:val="00896B5F"/>
    <w:rsid w:val="008A76DC"/>
    <w:rsid w:val="008B0527"/>
    <w:rsid w:val="008D02D6"/>
    <w:rsid w:val="008D1E5E"/>
    <w:rsid w:val="008D2A73"/>
    <w:rsid w:val="008E097C"/>
    <w:rsid w:val="008E4AAF"/>
    <w:rsid w:val="00902930"/>
    <w:rsid w:val="009037A5"/>
    <w:rsid w:val="00906CCC"/>
    <w:rsid w:val="00911D7B"/>
    <w:rsid w:val="00913FD1"/>
    <w:rsid w:val="00917142"/>
    <w:rsid w:val="0092406A"/>
    <w:rsid w:val="0092682F"/>
    <w:rsid w:val="00930113"/>
    <w:rsid w:val="00935DCB"/>
    <w:rsid w:val="009400DC"/>
    <w:rsid w:val="00942D6D"/>
    <w:rsid w:val="00943774"/>
    <w:rsid w:val="009451B9"/>
    <w:rsid w:val="00953B96"/>
    <w:rsid w:val="0095473D"/>
    <w:rsid w:val="009655AC"/>
    <w:rsid w:val="00971124"/>
    <w:rsid w:val="009724E0"/>
    <w:rsid w:val="00975277"/>
    <w:rsid w:val="00981A10"/>
    <w:rsid w:val="0098371F"/>
    <w:rsid w:val="0099374E"/>
    <w:rsid w:val="0099481F"/>
    <w:rsid w:val="009A46C5"/>
    <w:rsid w:val="009A560E"/>
    <w:rsid w:val="009B0066"/>
    <w:rsid w:val="009B5012"/>
    <w:rsid w:val="009B5AA3"/>
    <w:rsid w:val="009C272B"/>
    <w:rsid w:val="009C3438"/>
    <w:rsid w:val="009C3FFD"/>
    <w:rsid w:val="009C4259"/>
    <w:rsid w:val="009C47B0"/>
    <w:rsid w:val="009C5C89"/>
    <w:rsid w:val="009D0434"/>
    <w:rsid w:val="009F1782"/>
    <w:rsid w:val="009F4216"/>
    <w:rsid w:val="00A01505"/>
    <w:rsid w:val="00A019BC"/>
    <w:rsid w:val="00A026CE"/>
    <w:rsid w:val="00A05474"/>
    <w:rsid w:val="00A209AE"/>
    <w:rsid w:val="00A23748"/>
    <w:rsid w:val="00A260A8"/>
    <w:rsid w:val="00A272F3"/>
    <w:rsid w:val="00A306EB"/>
    <w:rsid w:val="00A34F3D"/>
    <w:rsid w:val="00A40898"/>
    <w:rsid w:val="00A409FC"/>
    <w:rsid w:val="00A40DB7"/>
    <w:rsid w:val="00A4117A"/>
    <w:rsid w:val="00A45A2E"/>
    <w:rsid w:val="00A570ED"/>
    <w:rsid w:val="00A653FA"/>
    <w:rsid w:val="00A67C89"/>
    <w:rsid w:val="00A80BD9"/>
    <w:rsid w:val="00A96222"/>
    <w:rsid w:val="00AA2AA9"/>
    <w:rsid w:val="00AB2D76"/>
    <w:rsid w:val="00AB3A64"/>
    <w:rsid w:val="00AC5D7D"/>
    <w:rsid w:val="00AC7036"/>
    <w:rsid w:val="00AD65F4"/>
    <w:rsid w:val="00AE4A09"/>
    <w:rsid w:val="00AE5301"/>
    <w:rsid w:val="00AF341D"/>
    <w:rsid w:val="00AF4860"/>
    <w:rsid w:val="00B00B7D"/>
    <w:rsid w:val="00B114C0"/>
    <w:rsid w:val="00B27C1C"/>
    <w:rsid w:val="00B31B86"/>
    <w:rsid w:val="00B32C01"/>
    <w:rsid w:val="00B334F2"/>
    <w:rsid w:val="00B36229"/>
    <w:rsid w:val="00B440CB"/>
    <w:rsid w:val="00B46E13"/>
    <w:rsid w:val="00B47A07"/>
    <w:rsid w:val="00B51CFD"/>
    <w:rsid w:val="00B52ACC"/>
    <w:rsid w:val="00B53EEA"/>
    <w:rsid w:val="00B600E0"/>
    <w:rsid w:val="00B603AF"/>
    <w:rsid w:val="00B64220"/>
    <w:rsid w:val="00B73792"/>
    <w:rsid w:val="00B7422A"/>
    <w:rsid w:val="00B75B70"/>
    <w:rsid w:val="00B82A7C"/>
    <w:rsid w:val="00B84C8D"/>
    <w:rsid w:val="00B870C1"/>
    <w:rsid w:val="00BA25BB"/>
    <w:rsid w:val="00BB4F9B"/>
    <w:rsid w:val="00BB5F32"/>
    <w:rsid w:val="00BC1151"/>
    <w:rsid w:val="00BC2DBD"/>
    <w:rsid w:val="00BC3EE8"/>
    <w:rsid w:val="00BD1D3B"/>
    <w:rsid w:val="00BD478F"/>
    <w:rsid w:val="00BD55C3"/>
    <w:rsid w:val="00BF0AE6"/>
    <w:rsid w:val="00BF63BB"/>
    <w:rsid w:val="00C02DBB"/>
    <w:rsid w:val="00C204A7"/>
    <w:rsid w:val="00C260F3"/>
    <w:rsid w:val="00C32DD6"/>
    <w:rsid w:val="00C41B03"/>
    <w:rsid w:val="00C54F4B"/>
    <w:rsid w:val="00C55E29"/>
    <w:rsid w:val="00C61D01"/>
    <w:rsid w:val="00C6713B"/>
    <w:rsid w:val="00C71AC9"/>
    <w:rsid w:val="00C9406A"/>
    <w:rsid w:val="00C9521D"/>
    <w:rsid w:val="00C953F9"/>
    <w:rsid w:val="00C9609D"/>
    <w:rsid w:val="00CA6D62"/>
    <w:rsid w:val="00CB3535"/>
    <w:rsid w:val="00CC410B"/>
    <w:rsid w:val="00CD63AA"/>
    <w:rsid w:val="00CE237B"/>
    <w:rsid w:val="00CE43D6"/>
    <w:rsid w:val="00CE727E"/>
    <w:rsid w:val="00CF6950"/>
    <w:rsid w:val="00CF76E3"/>
    <w:rsid w:val="00D012D9"/>
    <w:rsid w:val="00D07184"/>
    <w:rsid w:val="00D10E28"/>
    <w:rsid w:val="00D26B94"/>
    <w:rsid w:val="00D30029"/>
    <w:rsid w:val="00D3459B"/>
    <w:rsid w:val="00D37621"/>
    <w:rsid w:val="00D7264F"/>
    <w:rsid w:val="00D73181"/>
    <w:rsid w:val="00D7473C"/>
    <w:rsid w:val="00D754B1"/>
    <w:rsid w:val="00D866B3"/>
    <w:rsid w:val="00D8775C"/>
    <w:rsid w:val="00D91592"/>
    <w:rsid w:val="00D93EDD"/>
    <w:rsid w:val="00DB3D40"/>
    <w:rsid w:val="00DB40DF"/>
    <w:rsid w:val="00DB6486"/>
    <w:rsid w:val="00DC362B"/>
    <w:rsid w:val="00DD1FAE"/>
    <w:rsid w:val="00DE435E"/>
    <w:rsid w:val="00DE5969"/>
    <w:rsid w:val="00DE611C"/>
    <w:rsid w:val="00DF2776"/>
    <w:rsid w:val="00E0020C"/>
    <w:rsid w:val="00E02119"/>
    <w:rsid w:val="00E21333"/>
    <w:rsid w:val="00E27600"/>
    <w:rsid w:val="00E41AFA"/>
    <w:rsid w:val="00E503CB"/>
    <w:rsid w:val="00E51D2B"/>
    <w:rsid w:val="00E530DB"/>
    <w:rsid w:val="00E531A5"/>
    <w:rsid w:val="00E5360F"/>
    <w:rsid w:val="00E549FD"/>
    <w:rsid w:val="00E56BE3"/>
    <w:rsid w:val="00E61DC9"/>
    <w:rsid w:val="00E6257C"/>
    <w:rsid w:val="00E64E26"/>
    <w:rsid w:val="00E73FA5"/>
    <w:rsid w:val="00E75477"/>
    <w:rsid w:val="00E818E9"/>
    <w:rsid w:val="00E90BBB"/>
    <w:rsid w:val="00E91AC2"/>
    <w:rsid w:val="00E92834"/>
    <w:rsid w:val="00E97706"/>
    <w:rsid w:val="00EA280D"/>
    <w:rsid w:val="00EB7FBE"/>
    <w:rsid w:val="00EC5CB7"/>
    <w:rsid w:val="00EE0426"/>
    <w:rsid w:val="00EE0C94"/>
    <w:rsid w:val="00EE253A"/>
    <w:rsid w:val="00EE5376"/>
    <w:rsid w:val="00EF3114"/>
    <w:rsid w:val="00EF48FC"/>
    <w:rsid w:val="00F026C5"/>
    <w:rsid w:val="00F041E6"/>
    <w:rsid w:val="00F05407"/>
    <w:rsid w:val="00F14DAA"/>
    <w:rsid w:val="00F26EF9"/>
    <w:rsid w:val="00F37EFC"/>
    <w:rsid w:val="00F40829"/>
    <w:rsid w:val="00F42CE5"/>
    <w:rsid w:val="00F501F9"/>
    <w:rsid w:val="00F50579"/>
    <w:rsid w:val="00F529A7"/>
    <w:rsid w:val="00F52EA3"/>
    <w:rsid w:val="00F53074"/>
    <w:rsid w:val="00F53355"/>
    <w:rsid w:val="00F54DD8"/>
    <w:rsid w:val="00F64244"/>
    <w:rsid w:val="00F73C4A"/>
    <w:rsid w:val="00F95655"/>
    <w:rsid w:val="00F972A8"/>
    <w:rsid w:val="00FA23CA"/>
    <w:rsid w:val="00FC4513"/>
    <w:rsid w:val="00FD3993"/>
    <w:rsid w:val="00FD643B"/>
    <w:rsid w:val="00FE232B"/>
    <w:rsid w:val="00FE2787"/>
    <w:rsid w:val="00FE45EB"/>
    <w:rsid w:val="00FE5126"/>
    <w:rsid w:val="278550D4"/>
    <w:rsid w:val="2C49240C"/>
    <w:rsid w:val="4C09A074"/>
    <w:rsid w:val="70A16931"/>
  </w:rsids>
  <m:mathPr>
    <m:mathFont m:val="Cambria Math"/>
    <m:brkBin m:val="before"/>
    <m:brkBinSub m:val="--"/>
    <m:smallFrac m:val="0"/>
    <m:dispDef/>
    <m:lMargin m:val="0"/>
    <m:rMargin m:val="0"/>
    <m:defJc m:val="centerGroup"/>
    <m:wrapIndent m:val="1440"/>
    <m:intLim m:val="subSup"/>
    <m:naryLim m:val="undOvr"/>
  </m:mathPr>
  <w:themeFontLang w:val="vi-VN"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qFormat="1"/>
    <w:lsdException w:name="header" w:uiPriority="99" w:qFormat="1"/>
    <w:lsdException w:name="footer" w:qFormat="1"/>
    <w:lsdException w:name="caption" w:semiHidden="1" w:unhideWhenUsed="1" w:qFormat="1"/>
    <w:lsdException w:name="footnote reference" w:qFormat="1"/>
    <w:lsdException w:name="annotation reference" w:qFormat="1"/>
    <w:lsdException w:name="page number" w:qFormat="1"/>
    <w:lsdException w:name="Title" w:qFormat="1"/>
    <w:lsdException w:name="Default Paragraph Font" w:semiHidden="1" w:uiPriority="1" w:unhideWhenUsed="1" w:qFormat="1"/>
    <w:lsdException w:name="Subtitle" w:qFormat="1"/>
    <w:lsdException w:name="Hyperlink" w:uiPriority="99" w:qFormat="1"/>
    <w:lsdException w:name="Strong" w:qFormat="1"/>
    <w:lsdException w:name="Emphasis" w:uiPriority="20" w:qFormat="1"/>
    <w:lsdException w:name="Document Map" w:semiHidden="1" w:qFormat="1"/>
    <w:lsdException w:name="HTML Top of Form" w:semiHidden="1" w:uiPriority="99" w:unhideWhenUsed="1"/>
    <w:lsdException w:name="HTML Bottom of Form" w:semiHidden="1" w:uiPriority="99" w:unhideWhenUsed="1"/>
    <w:lsdException w:name="Normal (Web)" w:uiPriority="99" w:qFormat="1"/>
    <w:lsdException w:name="HTML Code" w:uiPriority="99" w:unhideWhenUsed="1"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8"/>
      <w:szCs w:val="24"/>
    </w:rPr>
  </w:style>
  <w:style w:type="paragraph" w:styleId="Heading1">
    <w:name w:val="heading 1"/>
    <w:basedOn w:val="Normal"/>
    <w:next w:val="Normal"/>
    <w:link w:val="Heading1Char"/>
    <w:qFormat/>
    <w:pPr>
      <w:keepNext/>
      <w:spacing w:before="240" w:after="60"/>
      <w:outlineLvl w:val="0"/>
    </w:pPr>
    <w:rPr>
      <w:rFonts w:ascii="Calibri Light" w:hAnsi="Calibri Light"/>
      <w:b/>
      <w:bCs/>
      <w:kern w:val="32"/>
      <w:sz w:val="32"/>
      <w:szCs w:val="32"/>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Tahoma" w:hAnsi="Tahoma" w:cs="Tahoma"/>
      <w:sz w:val="16"/>
      <w:szCs w:val="16"/>
    </w:rPr>
  </w:style>
  <w:style w:type="character" w:styleId="CommentReference">
    <w:name w:val="annotation reference"/>
    <w:qFormat/>
    <w:rPr>
      <w:sz w:val="16"/>
      <w:szCs w:val="16"/>
    </w:rPr>
  </w:style>
  <w:style w:type="paragraph" w:styleId="CommentText">
    <w:name w:val="annotation text"/>
    <w:basedOn w:val="Normal"/>
    <w:link w:val="CommentTextChar"/>
    <w:qFormat/>
    <w:rPr>
      <w:sz w:val="20"/>
      <w:szCs w:val="20"/>
    </w:rPr>
  </w:style>
  <w:style w:type="paragraph" w:styleId="CommentSubject">
    <w:name w:val="annotation subject"/>
    <w:basedOn w:val="CommentText"/>
    <w:next w:val="CommentText"/>
    <w:link w:val="CommentSubjectChar"/>
    <w:qFormat/>
    <w:rPr>
      <w:b/>
      <w:bCs/>
    </w:rPr>
  </w:style>
  <w:style w:type="paragraph" w:styleId="DocumentMap">
    <w:name w:val="Document Map"/>
    <w:basedOn w:val="Normal"/>
    <w:semiHidden/>
    <w:qFormat/>
    <w:pPr>
      <w:shd w:val="clear" w:color="auto" w:fill="000080"/>
    </w:pPr>
    <w:rPr>
      <w:rFonts w:ascii="Tahoma" w:hAnsi="Tahoma" w:cs="Tahoma"/>
      <w:sz w:val="20"/>
      <w:szCs w:val="20"/>
    </w:rPr>
  </w:style>
  <w:style w:type="character" w:styleId="Emphasis">
    <w:name w:val="Emphasis"/>
    <w:uiPriority w:val="20"/>
    <w:qFormat/>
    <w:rPr>
      <w:i/>
      <w:iCs/>
    </w:rPr>
  </w:style>
  <w:style w:type="character" w:styleId="FollowedHyperlink">
    <w:name w:val="FollowedHyperlink"/>
    <w:rPr>
      <w:color w:val="800080"/>
      <w:u w:val="single"/>
    </w:rPr>
  </w:style>
  <w:style w:type="paragraph" w:styleId="Footer">
    <w:name w:val="footer"/>
    <w:basedOn w:val="Normal"/>
    <w:qFormat/>
    <w:pPr>
      <w:tabs>
        <w:tab w:val="center" w:pos="4320"/>
        <w:tab w:val="right" w:pos="8640"/>
      </w:tabs>
    </w:pPr>
    <w:rPr>
      <w:sz w:val="24"/>
    </w:rPr>
  </w:style>
  <w:style w:type="character" w:styleId="FootnoteReference">
    <w:name w:val="footnote reference"/>
    <w:link w:val="RefChar"/>
    <w:qFormat/>
    <w:rPr>
      <w:vertAlign w:val="superscript"/>
    </w:rPr>
  </w:style>
  <w:style w:type="paragraph" w:customStyle="1" w:styleId="RefChar">
    <w:name w:val="Ref Char"/>
    <w:basedOn w:val="Normal"/>
    <w:link w:val="FootnoteReference"/>
    <w:qFormat/>
    <w:pPr>
      <w:spacing w:after="160" w:line="240" w:lineRule="exact"/>
    </w:pPr>
    <w:rPr>
      <w:sz w:val="20"/>
      <w:szCs w:val="20"/>
      <w:vertAlign w:val="superscript"/>
    </w:rPr>
  </w:style>
  <w:style w:type="paragraph" w:styleId="FootnoteText">
    <w:name w:val="footnote text"/>
    <w:basedOn w:val="Normal"/>
    <w:link w:val="FootnoteTextChar"/>
    <w:uiPriority w:val="99"/>
    <w:qFormat/>
    <w:rPr>
      <w:sz w:val="20"/>
      <w:szCs w:val="20"/>
    </w:rPr>
  </w:style>
  <w:style w:type="paragraph" w:styleId="Header">
    <w:name w:val="header"/>
    <w:basedOn w:val="Normal"/>
    <w:link w:val="HeaderChar"/>
    <w:uiPriority w:val="99"/>
    <w:qFormat/>
    <w:pPr>
      <w:tabs>
        <w:tab w:val="center" w:pos="4513"/>
        <w:tab w:val="right" w:pos="9026"/>
      </w:tabs>
    </w:pPr>
  </w:style>
  <w:style w:type="character" w:styleId="HTMLCode">
    <w:name w:val="HTML Code"/>
    <w:uiPriority w:val="99"/>
    <w:unhideWhenUsed/>
    <w:qFormat/>
    <w:rPr>
      <w:rFonts w:ascii="Courier New" w:eastAsia="Times New Roman" w:hAnsi="Courier New" w:cs="Courier New"/>
      <w:sz w:val="20"/>
      <w:szCs w:val="20"/>
    </w:rPr>
  </w:style>
  <w:style w:type="paragraph" w:styleId="HTMLPreformatted">
    <w:name w:val="HTML Preformatted"/>
    <w:basedOn w:val="Normal"/>
    <w:link w:val="HTMLPreformattedChar"/>
    <w:rPr>
      <w:rFonts w:ascii="Consolas" w:hAnsi="Consolas"/>
      <w:sz w:val="20"/>
      <w:szCs w:val="20"/>
    </w:rPr>
  </w:style>
  <w:style w:type="character" w:styleId="Hyperlink">
    <w:name w:val="Hyperlink"/>
    <w:uiPriority w:val="99"/>
    <w:qFormat/>
    <w:rPr>
      <w:color w:val="0000FF"/>
      <w:u w:val="single"/>
    </w:rPr>
  </w:style>
  <w:style w:type="paragraph" w:styleId="NormalWeb">
    <w:name w:val="Normal (Web)"/>
    <w:basedOn w:val="Normal"/>
    <w:uiPriority w:val="99"/>
    <w:qFormat/>
    <w:pPr>
      <w:spacing w:before="100" w:beforeAutospacing="1" w:after="100" w:afterAutospacing="1"/>
    </w:pPr>
    <w:rPr>
      <w:rFonts w:ascii="Verdana" w:hAnsi="Verdana" w:cs="Verdana"/>
      <w:sz w:val="24"/>
    </w:rPr>
  </w:style>
  <w:style w:type="character" w:styleId="PageNumber">
    <w:name w:val="page number"/>
    <w:basedOn w:val="DefaultParagraphFont"/>
    <w:qFormat/>
  </w:style>
  <w:style w:type="character" w:styleId="Strong">
    <w:name w:val="Strong"/>
    <w:qFormat/>
    <w:rPr>
      <w:b/>
      <w:bCs/>
    </w:rPr>
  </w:style>
  <w:style w:type="table" w:styleId="TableGrid">
    <w:name w:val="Table Grid"/>
    <w:basedOn w:val="TableNormal"/>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qFormat/>
    <w:pPr>
      <w:spacing w:after="200" w:line="276" w:lineRule="auto"/>
      <w:ind w:left="720"/>
      <w:contextualSpacing/>
    </w:pPr>
    <w:rPr>
      <w:rFonts w:ascii="Calibri" w:hAnsi="Calibri"/>
      <w:sz w:val="22"/>
      <w:szCs w:val="22"/>
    </w:rPr>
  </w:style>
  <w:style w:type="paragraph" w:customStyle="1" w:styleId="CharCharCharCharCharCharChar">
    <w:name w:val="Char Char Char Char Char Char Char"/>
    <w:autoRedefine/>
    <w:qFormat/>
    <w:pPr>
      <w:tabs>
        <w:tab w:val="left" w:pos="1152"/>
      </w:tabs>
      <w:spacing w:before="120" w:after="120" w:line="312" w:lineRule="auto"/>
    </w:pPr>
    <w:rPr>
      <w:rFonts w:ascii="Arial" w:hAnsi="Arial" w:cs="Arial"/>
      <w:sz w:val="26"/>
      <w:szCs w:val="26"/>
    </w:rPr>
  </w:style>
  <w:style w:type="character" w:customStyle="1" w:styleId="vldocidentity">
    <w:name w:val="vl_doc_identity"/>
    <w:basedOn w:val="DefaultParagraphFont"/>
    <w:qFormat/>
  </w:style>
  <w:style w:type="character" w:customStyle="1" w:styleId="st">
    <w:name w:val="st"/>
    <w:basedOn w:val="DefaultParagraphFont"/>
  </w:style>
  <w:style w:type="paragraph" w:customStyle="1" w:styleId="1CharCharCharChar">
    <w:name w:val="1 Char Char Char Char"/>
    <w:basedOn w:val="DocumentMap"/>
    <w:autoRedefine/>
    <w:qFormat/>
    <w:pPr>
      <w:widowControl w:val="0"/>
      <w:jc w:val="both"/>
    </w:pPr>
    <w:rPr>
      <w:rFonts w:eastAsia="SimSun" w:cs="Times New Roman"/>
      <w:kern w:val="2"/>
      <w:sz w:val="24"/>
      <w:szCs w:val="24"/>
      <w:lang w:eastAsia="zh-CN"/>
    </w:rPr>
  </w:style>
  <w:style w:type="paragraph" w:customStyle="1" w:styleId="Char">
    <w:name w:val="Char"/>
    <w:basedOn w:val="DocumentMap"/>
    <w:autoRedefine/>
    <w:pPr>
      <w:widowControl w:val="0"/>
      <w:jc w:val="both"/>
    </w:pPr>
    <w:rPr>
      <w:rFonts w:eastAsia="SimSun" w:cs="Times New Roman"/>
      <w:kern w:val="2"/>
      <w:sz w:val="24"/>
      <w:szCs w:val="24"/>
      <w:lang w:eastAsia="zh-CN"/>
    </w:rPr>
  </w:style>
  <w:style w:type="character" w:customStyle="1" w:styleId="apple-style-span">
    <w:name w:val="apple-style-span"/>
    <w:basedOn w:val="DefaultParagraphFont"/>
  </w:style>
  <w:style w:type="character" w:customStyle="1" w:styleId="FootnoteTextChar">
    <w:name w:val="Footnote Text Char"/>
    <w:link w:val="FootnoteText"/>
    <w:uiPriority w:val="99"/>
    <w:qFormat/>
  </w:style>
  <w:style w:type="character" w:customStyle="1" w:styleId="CommentTextChar">
    <w:name w:val="Comment Text Char"/>
    <w:basedOn w:val="DefaultParagraphFont"/>
    <w:link w:val="CommentText"/>
    <w:qFormat/>
  </w:style>
  <w:style w:type="character" w:customStyle="1" w:styleId="CommentSubjectChar">
    <w:name w:val="Comment Subject Char"/>
    <w:link w:val="CommentSubject"/>
    <w:qFormat/>
    <w:rPr>
      <w:b/>
      <w:bCs/>
    </w:rPr>
  </w:style>
  <w:style w:type="character" w:customStyle="1" w:styleId="BalloonTextChar">
    <w:name w:val="Balloon Text Char"/>
    <w:link w:val="BalloonText"/>
    <w:qFormat/>
    <w:rPr>
      <w:rFonts w:ascii="Tahoma" w:hAnsi="Tahoma" w:cs="Tahoma"/>
      <w:sz w:val="16"/>
      <w:szCs w:val="16"/>
    </w:rPr>
  </w:style>
  <w:style w:type="character" w:customStyle="1" w:styleId="HeaderChar">
    <w:name w:val="Header Char"/>
    <w:link w:val="Header"/>
    <w:uiPriority w:val="99"/>
    <w:qFormat/>
    <w:rPr>
      <w:sz w:val="28"/>
      <w:szCs w:val="24"/>
      <w:lang w:val="en-US" w:eastAsia="en-US"/>
    </w:rPr>
  </w:style>
  <w:style w:type="character" w:customStyle="1" w:styleId="Heading1Char">
    <w:name w:val="Heading 1 Char"/>
    <w:link w:val="Heading1"/>
    <w:qFormat/>
    <w:rPr>
      <w:rFonts w:ascii="Calibri Light" w:hAnsi="Calibri Light"/>
      <w:b/>
      <w:bCs/>
      <w:kern w:val="32"/>
      <w:sz w:val="32"/>
      <w:szCs w:val="32"/>
      <w:lang w:val="vi-VN"/>
    </w:rPr>
  </w:style>
  <w:style w:type="paragraph" w:customStyle="1" w:styleId="Revision1">
    <w:name w:val="Revision1"/>
    <w:hidden/>
    <w:uiPriority w:val="99"/>
    <w:semiHidden/>
    <w:qFormat/>
    <w:rPr>
      <w:sz w:val="28"/>
      <w:szCs w:val="24"/>
    </w:rPr>
  </w:style>
  <w:style w:type="character" w:customStyle="1" w:styleId="HTMLPreformattedChar">
    <w:name w:val="HTML Preformatted Char"/>
    <w:basedOn w:val="DefaultParagraphFont"/>
    <w:link w:val="HTMLPreformatted"/>
    <w:qFormat/>
    <w:rPr>
      <w:rFonts w:ascii="Consolas" w:hAnsi="Consolas"/>
      <w:lang w:val="en-US" w:eastAsia="en-US"/>
    </w:rPr>
  </w:style>
  <w:style w:type="character" w:customStyle="1" w:styleId="UnresolvedMention">
    <w:name w:val="Unresolved Mention"/>
    <w:basedOn w:val="DefaultParagraphFont"/>
    <w:uiPriority w:val="99"/>
    <w:semiHidden/>
    <w:unhideWhenUsed/>
    <w:qFormat/>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qFormat="1"/>
    <w:lsdException w:name="header" w:uiPriority="99" w:qFormat="1"/>
    <w:lsdException w:name="footer" w:qFormat="1"/>
    <w:lsdException w:name="caption" w:semiHidden="1" w:unhideWhenUsed="1" w:qFormat="1"/>
    <w:lsdException w:name="footnote reference" w:qFormat="1"/>
    <w:lsdException w:name="annotation reference" w:qFormat="1"/>
    <w:lsdException w:name="page number" w:qFormat="1"/>
    <w:lsdException w:name="Title" w:qFormat="1"/>
    <w:lsdException w:name="Default Paragraph Font" w:semiHidden="1" w:uiPriority="1" w:unhideWhenUsed="1" w:qFormat="1"/>
    <w:lsdException w:name="Subtitle" w:qFormat="1"/>
    <w:lsdException w:name="Hyperlink" w:uiPriority="99" w:qFormat="1"/>
    <w:lsdException w:name="Strong" w:qFormat="1"/>
    <w:lsdException w:name="Emphasis" w:uiPriority="20" w:qFormat="1"/>
    <w:lsdException w:name="Document Map" w:semiHidden="1" w:qFormat="1"/>
    <w:lsdException w:name="HTML Top of Form" w:semiHidden="1" w:uiPriority="99" w:unhideWhenUsed="1"/>
    <w:lsdException w:name="HTML Bottom of Form" w:semiHidden="1" w:uiPriority="99" w:unhideWhenUsed="1"/>
    <w:lsdException w:name="Normal (Web)" w:uiPriority="99" w:qFormat="1"/>
    <w:lsdException w:name="HTML Code" w:uiPriority="99" w:unhideWhenUsed="1"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8"/>
      <w:szCs w:val="24"/>
    </w:rPr>
  </w:style>
  <w:style w:type="paragraph" w:styleId="Heading1">
    <w:name w:val="heading 1"/>
    <w:basedOn w:val="Normal"/>
    <w:next w:val="Normal"/>
    <w:link w:val="Heading1Char"/>
    <w:qFormat/>
    <w:pPr>
      <w:keepNext/>
      <w:spacing w:before="240" w:after="60"/>
      <w:outlineLvl w:val="0"/>
    </w:pPr>
    <w:rPr>
      <w:rFonts w:ascii="Calibri Light" w:hAnsi="Calibri Light"/>
      <w:b/>
      <w:bCs/>
      <w:kern w:val="32"/>
      <w:sz w:val="32"/>
      <w:szCs w:val="32"/>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Tahoma" w:hAnsi="Tahoma" w:cs="Tahoma"/>
      <w:sz w:val="16"/>
      <w:szCs w:val="16"/>
    </w:rPr>
  </w:style>
  <w:style w:type="character" w:styleId="CommentReference">
    <w:name w:val="annotation reference"/>
    <w:qFormat/>
    <w:rPr>
      <w:sz w:val="16"/>
      <w:szCs w:val="16"/>
    </w:rPr>
  </w:style>
  <w:style w:type="paragraph" w:styleId="CommentText">
    <w:name w:val="annotation text"/>
    <w:basedOn w:val="Normal"/>
    <w:link w:val="CommentTextChar"/>
    <w:qFormat/>
    <w:rPr>
      <w:sz w:val="20"/>
      <w:szCs w:val="20"/>
    </w:rPr>
  </w:style>
  <w:style w:type="paragraph" w:styleId="CommentSubject">
    <w:name w:val="annotation subject"/>
    <w:basedOn w:val="CommentText"/>
    <w:next w:val="CommentText"/>
    <w:link w:val="CommentSubjectChar"/>
    <w:qFormat/>
    <w:rPr>
      <w:b/>
      <w:bCs/>
    </w:rPr>
  </w:style>
  <w:style w:type="paragraph" w:styleId="DocumentMap">
    <w:name w:val="Document Map"/>
    <w:basedOn w:val="Normal"/>
    <w:semiHidden/>
    <w:qFormat/>
    <w:pPr>
      <w:shd w:val="clear" w:color="auto" w:fill="000080"/>
    </w:pPr>
    <w:rPr>
      <w:rFonts w:ascii="Tahoma" w:hAnsi="Tahoma" w:cs="Tahoma"/>
      <w:sz w:val="20"/>
      <w:szCs w:val="20"/>
    </w:rPr>
  </w:style>
  <w:style w:type="character" w:styleId="Emphasis">
    <w:name w:val="Emphasis"/>
    <w:uiPriority w:val="20"/>
    <w:qFormat/>
    <w:rPr>
      <w:i/>
      <w:iCs/>
    </w:rPr>
  </w:style>
  <w:style w:type="character" w:styleId="FollowedHyperlink">
    <w:name w:val="FollowedHyperlink"/>
    <w:rPr>
      <w:color w:val="800080"/>
      <w:u w:val="single"/>
    </w:rPr>
  </w:style>
  <w:style w:type="paragraph" w:styleId="Footer">
    <w:name w:val="footer"/>
    <w:basedOn w:val="Normal"/>
    <w:qFormat/>
    <w:pPr>
      <w:tabs>
        <w:tab w:val="center" w:pos="4320"/>
        <w:tab w:val="right" w:pos="8640"/>
      </w:tabs>
    </w:pPr>
    <w:rPr>
      <w:sz w:val="24"/>
    </w:rPr>
  </w:style>
  <w:style w:type="character" w:styleId="FootnoteReference">
    <w:name w:val="footnote reference"/>
    <w:link w:val="RefChar"/>
    <w:qFormat/>
    <w:rPr>
      <w:vertAlign w:val="superscript"/>
    </w:rPr>
  </w:style>
  <w:style w:type="paragraph" w:customStyle="1" w:styleId="RefChar">
    <w:name w:val="Ref Char"/>
    <w:basedOn w:val="Normal"/>
    <w:link w:val="FootnoteReference"/>
    <w:qFormat/>
    <w:pPr>
      <w:spacing w:after="160" w:line="240" w:lineRule="exact"/>
    </w:pPr>
    <w:rPr>
      <w:sz w:val="20"/>
      <w:szCs w:val="20"/>
      <w:vertAlign w:val="superscript"/>
    </w:rPr>
  </w:style>
  <w:style w:type="paragraph" w:styleId="FootnoteText">
    <w:name w:val="footnote text"/>
    <w:basedOn w:val="Normal"/>
    <w:link w:val="FootnoteTextChar"/>
    <w:uiPriority w:val="99"/>
    <w:qFormat/>
    <w:rPr>
      <w:sz w:val="20"/>
      <w:szCs w:val="20"/>
    </w:rPr>
  </w:style>
  <w:style w:type="paragraph" w:styleId="Header">
    <w:name w:val="header"/>
    <w:basedOn w:val="Normal"/>
    <w:link w:val="HeaderChar"/>
    <w:uiPriority w:val="99"/>
    <w:qFormat/>
    <w:pPr>
      <w:tabs>
        <w:tab w:val="center" w:pos="4513"/>
        <w:tab w:val="right" w:pos="9026"/>
      </w:tabs>
    </w:pPr>
  </w:style>
  <w:style w:type="character" w:styleId="HTMLCode">
    <w:name w:val="HTML Code"/>
    <w:uiPriority w:val="99"/>
    <w:unhideWhenUsed/>
    <w:qFormat/>
    <w:rPr>
      <w:rFonts w:ascii="Courier New" w:eastAsia="Times New Roman" w:hAnsi="Courier New" w:cs="Courier New"/>
      <w:sz w:val="20"/>
      <w:szCs w:val="20"/>
    </w:rPr>
  </w:style>
  <w:style w:type="paragraph" w:styleId="HTMLPreformatted">
    <w:name w:val="HTML Preformatted"/>
    <w:basedOn w:val="Normal"/>
    <w:link w:val="HTMLPreformattedChar"/>
    <w:rPr>
      <w:rFonts w:ascii="Consolas" w:hAnsi="Consolas"/>
      <w:sz w:val="20"/>
      <w:szCs w:val="20"/>
    </w:rPr>
  </w:style>
  <w:style w:type="character" w:styleId="Hyperlink">
    <w:name w:val="Hyperlink"/>
    <w:uiPriority w:val="99"/>
    <w:qFormat/>
    <w:rPr>
      <w:color w:val="0000FF"/>
      <w:u w:val="single"/>
    </w:rPr>
  </w:style>
  <w:style w:type="paragraph" w:styleId="NormalWeb">
    <w:name w:val="Normal (Web)"/>
    <w:basedOn w:val="Normal"/>
    <w:uiPriority w:val="99"/>
    <w:qFormat/>
    <w:pPr>
      <w:spacing w:before="100" w:beforeAutospacing="1" w:after="100" w:afterAutospacing="1"/>
    </w:pPr>
    <w:rPr>
      <w:rFonts w:ascii="Verdana" w:hAnsi="Verdana" w:cs="Verdana"/>
      <w:sz w:val="24"/>
    </w:rPr>
  </w:style>
  <w:style w:type="character" w:styleId="PageNumber">
    <w:name w:val="page number"/>
    <w:basedOn w:val="DefaultParagraphFont"/>
    <w:qFormat/>
  </w:style>
  <w:style w:type="character" w:styleId="Strong">
    <w:name w:val="Strong"/>
    <w:qFormat/>
    <w:rPr>
      <w:b/>
      <w:bCs/>
    </w:rPr>
  </w:style>
  <w:style w:type="table" w:styleId="TableGrid">
    <w:name w:val="Table Grid"/>
    <w:basedOn w:val="TableNormal"/>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qFormat/>
    <w:pPr>
      <w:spacing w:after="200" w:line="276" w:lineRule="auto"/>
      <w:ind w:left="720"/>
      <w:contextualSpacing/>
    </w:pPr>
    <w:rPr>
      <w:rFonts w:ascii="Calibri" w:hAnsi="Calibri"/>
      <w:sz w:val="22"/>
      <w:szCs w:val="22"/>
    </w:rPr>
  </w:style>
  <w:style w:type="paragraph" w:customStyle="1" w:styleId="CharCharCharCharCharCharChar">
    <w:name w:val="Char Char Char Char Char Char Char"/>
    <w:autoRedefine/>
    <w:qFormat/>
    <w:pPr>
      <w:tabs>
        <w:tab w:val="left" w:pos="1152"/>
      </w:tabs>
      <w:spacing w:before="120" w:after="120" w:line="312" w:lineRule="auto"/>
    </w:pPr>
    <w:rPr>
      <w:rFonts w:ascii="Arial" w:hAnsi="Arial" w:cs="Arial"/>
      <w:sz w:val="26"/>
      <w:szCs w:val="26"/>
    </w:rPr>
  </w:style>
  <w:style w:type="character" w:customStyle="1" w:styleId="vldocidentity">
    <w:name w:val="vl_doc_identity"/>
    <w:basedOn w:val="DefaultParagraphFont"/>
    <w:qFormat/>
  </w:style>
  <w:style w:type="character" w:customStyle="1" w:styleId="st">
    <w:name w:val="st"/>
    <w:basedOn w:val="DefaultParagraphFont"/>
  </w:style>
  <w:style w:type="paragraph" w:customStyle="1" w:styleId="1CharCharCharChar">
    <w:name w:val="1 Char Char Char Char"/>
    <w:basedOn w:val="DocumentMap"/>
    <w:autoRedefine/>
    <w:qFormat/>
    <w:pPr>
      <w:widowControl w:val="0"/>
      <w:jc w:val="both"/>
    </w:pPr>
    <w:rPr>
      <w:rFonts w:eastAsia="SimSun" w:cs="Times New Roman"/>
      <w:kern w:val="2"/>
      <w:sz w:val="24"/>
      <w:szCs w:val="24"/>
      <w:lang w:eastAsia="zh-CN"/>
    </w:rPr>
  </w:style>
  <w:style w:type="paragraph" w:customStyle="1" w:styleId="Char">
    <w:name w:val="Char"/>
    <w:basedOn w:val="DocumentMap"/>
    <w:autoRedefine/>
    <w:pPr>
      <w:widowControl w:val="0"/>
      <w:jc w:val="both"/>
    </w:pPr>
    <w:rPr>
      <w:rFonts w:eastAsia="SimSun" w:cs="Times New Roman"/>
      <w:kern w:val="2"/>
      <w:sz w:val="24"/>
      <w:szCs w:val="24"/>
      <w:lang w:eastAsia="zh-CN"/>
    </w:rPr>
  </w:style>
  <w:style w:type="character" w:customStyle="1" w:styleId="apple-style-span">
    <w:name w:val="apple-style-span"/>
    <w:basedOn w:val="DefaultParagraphFont"/>
  </w:style>
  <w:style w:type="character" w:customStyle="1" w:styleId="FootnoteTextChar">
    <w:name w:val="Footnote Text Char"/>
    <w:link w:val="FootnoteText"/>
    <w:uiPriority w:val="99"/>
    <w:qFormat/>
  </w:style>
  <w:style w:type="character" w:customStyle="1" w:styleId="CommentTextChar">
    <w:name w:val="Comment Text Char"/>
    <w:basedOn w:val="DefaultParagraphFont"/>
    <w:link w:val="CommentText"/>
    <w:qFormat/>
  </w:style>
  <w:style w:type="character" w:customStyle="1" w:styleId="CommentSubjectChar">
    <w:name w:val="Comment Subject Char"/>
    <w:link w:val="CommentSubject"/>
    <w:qFormat/>
    <w:rPr>
      <w:b/>
      <w:bCs/>
    </w:rPr>
  </w:style>
  <w:style w:type="character" w:customStyle="1" w:styleId="BalloonTextChar">
    <w:name w:val="Balloon Text Char"/>
    <w:link w:val="BalloonText"/>
    <w:qFormat/>
    <w:rPr>
      <w:rFonts w:ascii="Tahoma" w:hAnsi="Tahoma" w:cs="Tahoma"/>
      <w:sz w:val="16"/>
      <w:szCs w:val="16"/>
    </w:rPr>
  </w:style>
  <w:style w:type="character" w:customStyle="1" w:styleId="HeaderChar">
    <w:name w:val="Header Char"/>
    <w:link w:val="Header"/>
    <w:uiPriority w:val="99"/>
    <w:qFormat/>
    <w:rPr>
      <w:sz w:val="28"/>
      <w:szCs w:val="24"/>
      <w:lang w:val="en-US" w:eastAsia="en-US"/>
    </w:rPr>
  </w:style>
  <w:style w:type="character" w:customStyle="1" w:styleId="Heading1Char">
    <w:name w:val="Heading 1 Char"/>
    <w:link w:val="Heading1"/>
    <w:qFormat/>
    <w:rPr>
      <w:rFonts w:ascii="Calibri Light" w:hAnsi="Calibri Light"/>
      <w:b/>
      <w:bCs/>
      <w:kern w:val="32"/>
      <w:sz w:val="32"/>
      <w:szCs w:val="32"/>
      <w:lang w:val="vi-VN"/>
    </w:rPr>
  </w:style>
  <w:style w:type="paragraph" w:customStyle="1" w:styleId="Revision1">
    <w:name w:val="Revision1"/>
    <w:hidden/>
    <w:uiPriority w:val="99"/>
    <w:semiHidden/>
    <w:qFormat/>
    <w:rPr>
      <w:sz w:val="28"/>
      <w:szCs w:val="24"/>
    </w:rPr>
  </w:style>
  <w:style w:type="character" w:customStyle="1" w:styleId="HTMLPreformattedChar">
    <w:name w:val="HTML Preformatted Char"/>
    <w:basedOn w:val="DefaultParagraphFont"/>
    <w:link w:val="HTMLPreformatted"/>
    <w:qFormat/>
    <w:rPr>
      <w:rFonts w:ascii="Consolas" w:hAnsi="Consolas"/>
      <w:lang w:val="en-US" w:eastAsia="en-US"/>
    </w:rPr>
  </w:style>
  <w:style w:type="character" w:customStyle="1" w:styleId="UnresolvedMention">
    <w:name w:val="Unresolved Mention"/>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s://vbpl.vn/hanoi/pages/vbpq-timkiem.aspx?type=0&amp;s=1&amp;Keyword=33/2025/Q%C4%90-UBND&amp;SearchIn=Title,Title1&amp;IsRec=1&amp;pv=1"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20ACB75-DD82-4B3E-86A4-55800265DD67}">
  <ds:schemaRefs>
    <ds:schemaRef ds:uri="http://schemas.microsoft.com/sharepoint/v3/contenttype/forms"/>
  </ds:schemaRefs>
</ds:datastoreItem>
</file>

<file path=customXml/itemProps3.xml><?xml version="1.0" encoding="utf-8"?>
<ds:datastoreItem xmlns:ds="http://schemas.openxmlformats.org/officeDocument/2006/customXml" ds:itemID="{2A520E77-77B5-4FB6-A51E-120962F3D0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1B86E832-3864-4F1E-A054-EA4581D8B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11</Pages>
  <Words>2169</Words>
  <Characters>12369</Characters>
  <Application>Microsoft Office Word</Application>
  <DocSecurity>0</DocSecurity>
  <Lines>103</Lines>
  <Paragraphs>29</Paragraphs>
  <ScaleCrop>false</ScaleCrop>
  <Company>Truong</Company>
  <LinksUpToDate>false</LinksUpToDate>
  <CharactersWithSpaces>14509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DỰ KIẾN PHÂN CÔNG RÀ SOÁT VĂN BẢN QUY PHẠM PHÁP LUẬT</dc:title>
  <dc:creator>PC Thien IT</dc:creator>
  <cp:lastModifiedBy>Administrator</cp:lastModifiedBy>
  <cp:revision>160</cp:revision>
  <dcterms:created xsi:type="dcterms:W3CDTF">2026-04-22T02:47:00Z</dcterms:created>
  <dcterms:modified xsi:type="dcterms:W3CDTF">2026-10-16T07:14:00Z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eyJoZGlkIjoiNGU0OWVmYzBmYWY2NzRmNDQ3ZGRiYTVhYTQzMGNkODQiLCJ1c2VySWQiOiIxMzc0NDAyNTU1NTU0In0=</vt:lpwstr>
  </property>
  <property fmtid="{D5CDD505-2E9C-101B-9397-08002B2CF9AE}" pid="3" name="KSOProductBuildVer">
    <vt:lpwstr>1033-12.1.0.28032</vt:lpwstr>
  </property>
  <property fmtid="{D5CDD505-2E9C-101B-9397-08002B2CF9AE}" pid="4" name="ICV">
    <vt:lpwstr>D1F1CB50DF954A61856104DCAEF40884_12</vt:lpwstr>
  </property>
</Properties>
</file>